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CB0B" w14:textId="3536387A" w:rsidR="008304A4" w:rsidRPr="004264D8" w:rsidRDefault="008304A4" w:rsidP="00893722">
      <w:pPr>
        <w:jc w:val="center"/>
        <w:rPr>
          <w:i/>
        </w:rPr>
      </w:pPr>
      <w:r w:rsidRPr="004752BF">
        <w:rPr>
          <w:b/>
          <w:sz w:val="28"/>
        </w:rPr>
        <w:t>United States Supreme Court</w:t>
      </w:r>
      <w:r>
        <w:rPr>
          <w:b/>
          <w:sz w:val="28"/>
          <w:u w:val="single"/>
        </w:rPr>
        <w:br/>
        <w:t xml:space="preserve">Criminal &amp; Immigration Law </w:t>
      </w:r>
      <w:r w:rsidRPr="008A1E8D">
        <w:rPr>
          <w:b/>
          <w:sz w:val="28"/>
          <w:u w:val="single"/>
        </w:rPr>
        <w:t>Decisions of the 20</w:t>
      </w:r>
      <w:r w:rsidR="0079703A">
        <w:rPr>
          <w:b/>
          <w:sz w:val="28"/>
          <w:u w:val="single"/>
        </w:rPr>
        <w:t>2</w:t>
      </w:r>
      <w:r w:rsidR="00D03BD0">
        <w:rPr>
          <w:b/>
          <w:sz w:val="28"/>
          <w:u w:val="single"/>
        </w:rPr>
        <w:t>2</w:t>
      </w:r>
      <w:r w:rsidR="00362DF3">
        <w:rPr>
          <w:b/>
          <w:sz w:val="28"/>
          <w:u w:val="single"/>
        </w:rPr>
        <w:t>-</w:t>
      </w:r>
      <w:r w:rsidRPr="008A1E8D">
        <w:rPr>
          <w:b/>
          <w:sz w:val="28"/>
          <w:u w:val="single"/>
        </w:rPr>
        <w:t>20</w:t>
      </w:r>
      <w:r w:rsidR="003E32BB">
        <w:rPr>
          <w:b/>
          <w:sz w:val="28"/>
          <w:u w:val="single"/>
        </w:rPr>
        <w:t>2</w:t>
      </w:r>
      <w:r w:rsidR="00D03BD0">
        <w:rPr>
          <w:b/>
          <w:sz w:val="28"/>
          <w:u w:val="single"/>
        </w:rPr>
        <w:t>3</w:t>
      </w:r>
      <w:r w:rsidRPr="008A1E8D">
        <w:rPr>
          <w:b/>
          <w:sz w:val="28"/>
          <w:u w:val="single"/>
        </w:rPr>
        <w:t xml:space="preserve"> Term</w:t>
      </w:r>
      <w:r>
        <w:rPr>
          <w:b/>
          <w:sz w:val="28"/>
          <w:u w:val="single"/>
        </w:rPr>
        <w:br/>
      </w:r>
      <w:r w:rsidR="005225CB" w:rsidRPr="005225CB">
        <w:rPr>
          <w:sz w:val="22"/>
        </w:rPr>
        <w:t>Updated:</w:t>
      </w:r>
      <w:r w:rsidR="008B64B6">
        <w:rPr>
          <w:sz w:val="22"/>
        </w:rPr>
        <w:t xml:space="preserve"> </w:t>
      </w:r>
      <w:r w:rsidR="006346C2">
        <w:rPr>
          <w:i/>
          <w:sz w:val="22"/>
        </w:rPr>
        <w:t>Tuesday, June 27, 2023</w:t>
      </w:r>
    </w:p>
    <w:p w14:paraId="1CFF7C3D" w14:textId="77777777" w:rsidR="006346C2" w:rsidRDefault="00C8730D" w:rsidP="00233B9D">
      <w:pPr>
        <w:numPr>
          <w:ilvl w:val="0"/>
          <w:numId w:val="2"/>
        </w:numPr>
        <w:spacing w:before="100" w:beforeAutospacing="1" w:after="100" w:afterAutospacing="1" w:line="240" w:lineRule="auto"/>
        <w:rPr>
          <w:rFonts w:eastAsia="Times New Roman"/>
          <w:szCs w:val="24"/>
        </w:rPr>
      </w:pPr>
      <w:proofErr w:type="spellStart"/>
      <w:r w:rsidRPr="00A71432">
        <w:rPr>
          <w:rFonts w:eastAsia="Times New Roman"/>
          <w:i/>
          <w:iCs/>
          <w:szCs w:val="24"/>
        </w:rPr>
        <w:t>Ciminelli</w:t>
      </w:r>
      <w:proofErr w:type="spellEnd"/>
      <w:r w:rsidRPr="00A71432">
        <w:rPr>
          <w:rFonts w:eastAsia="Times New Roman"/>
          <w:i/>
          <w:iCs/>
          <w:szCs w:val="24"/>
        </w:rPr>
        <w:t xml:space="preserve"> v. United States et al.</w:t>
      </w:r>
      <w:r w:rsidRPr="00A71432">
        <w:rPr>
          <w:rFonts w:eastAsia="Times New Roman"/>
          <w:szCs w:val="24"/>
        </w:rPr>
        <w:t xml:space="preserve">, No. 21-1170, decided May 11, 2023 </w:t>
      </w:r>
      <w:r w:rsidRPr="00A71432">
        <w:rPr>
          <w:rFonts w:eastAsia="Times New Roman"/>
          <w:b/>
          <w:bCs/>
          <w:szCs w:val="24"/>
        </w:rPr>
        <w:t>[Fraud, Right-to-Control Theory]</w:t>
      </w:r>
      <w:r w:rsidRPr="00A71432">
        <w:rPr>
          <w:rFonts w:eastAsia="Times New Roman"/>
          <w:i/>
          <w:iCs/>
          <w:szCs w:val="24"/>
        </w:rPr>
        <w:br/>
      </w:r>
      <w:r w:rsidRPr="00A71432">
        <w:rPr>
          <w:rFonts w:eastAsia="Times New Roman"/>
          <w:szCs w:val="24"/>
        </w:rPr>
        <w:t>Thomas majority, Alito concurring</w:t>
      </w:r>
      <w:r w:rsidRPr="00A71432">
        <w:rPr>
          <w:rFonts w:eastAsia="Times New Roman"/>
          <w:szCs w:val="24"/>
        </w:rPr>
        <w:br/>
        <w:t xml:space="preserve">Petitioner Louis </w:t>
      </w:r>
      <w:proofErr w:type="spellStart"/>
      <w:r w:rsidRPr="00A71432">
        <w:rPr>
          <w:rFonts w:eastAsia="Times New Roman"/>
          <w:szCs w:val="24"/>
        </w:rPr>
        <w:t>Ciminelli</w:t>
      </w:r>
      <w:proofErr w:type="spellEnd"/>
      <w:r w:rsidRPr="00A71432">
        <w:rPr>
          <w:rFonts w:eastAsia="Times New Roman"/>
          <w:szCs w:val="24"/>
        </w:rPr>
        <w:t xml:space="preserve"> was convicted of federal wire fraud for his involvement in a scheme to rig the bid process for obtaining state-funded development projects associated with then-New York Governor Andrew Cuomo’s Buffalo Billion initiative. The Buffalo Billion initiative was administered by the nonprofit Fort Schuyler Management Corporation. Investigations uncovered that Fort Schuyler board member</w:t>
      </w:r>
      <w:r w:rsidR="00A71432" w:rsidRPr="00A71432">
        <w:rPr>
          <w:rFonts w:eastAsia="Times New Roman"/>
          <w:szCs w:val="24"/>
        </w:rPr>
        <w:t xml:space="preserve"> </w:t>
      </w:r>
      <w:r w:rsidRPr="00A71432">
        <w:rPr>
          <w:rFonts w:eastAsia="Times New Roman"/>
          <w:szCs w:val="24"/>
        </w:rPr>
        <w:t>Alain Kaloyeros paid lobbyist Todd Howe $25,000 in state funds each</w:t>
      </w:r>
      <w:r w:rsidR="00A71432" w:rsidRPr="00A71432">
        <w:rPr>
          <w:rFonts w:eastAsia="Times New Roman"/>
          <w:szCs w:val="24"/>
        </w:rPr>
        <w:t xml:space="preserve"> </w:t>
      </w:r>
      <w:r w:rsidRPr="00A71432">
        <w:rPr>
          <w:rFonts w:eastAsia="Times New Roman"/>
          <w:szCs w:val="24"/>
        </w:rPr>
        <w:t xml:space="preserve">month to ensure that the Cuomo administration gave Kaloyeros a prominent role in administering projects for Buffalo Billion. </w:t>
      </w:r>
      <w:proofErr w:type="spellStart"/>
      <w:r w:rsidRPr="00A71432">
        <w:rPr>
          <w:rFonts w:eastAsia="Times New Roman"/>
          <w:szCs w:val="24"/>
        </w:rPr>
        <w:t>Ciminelli’s</w:t>
      </w:r>
      <w:proofErr w:type="spellEnd"/>
      <w:r w:rsidRPr="00A71432">
        <w:rPr>
          <w:rFonts w:eastAsia="Times New Roman"/>
          <w:szCs w:val="24"/>
        </w:rPr>
        <w:t xml:space="preserve"> construction company, </w:t>
      </w:r>
      <w:proofErr w:type="spellStart"/>
      <w:r w:rsidRPr="00A71432">
        <w:rPr>
          <w:rFonts w:eastAsia="Times New Roman"/>
          <w:szCs w:val="24"/>
        </w:rPr>
        <w:t>LPCiminelli</w:t>
      </w:r>
      <w:proofErr w:type="spellEnd"/>
      <w:r w:rsidRPr="00A71432">
        <w:rPr>
          <w:rFonts w:eastAsia="Times New Roman"/>
          <w:szCs w:val="24"/>
        </w:rPr>
        <w:t xml:space="preserve">, paid Howe $100,000 to $180,000 each year to help it obtain state-funded jobs. In 2013, Howe and Kaloyeros devised a scheme whereby Kaloyeros would tailor Fort Schuyler’s bid process to smooth the way for </w:t>
      </w:r>
      <w:proofErr w:type="spellStart"/>
      <w:r w:rsidRPr="00A71432">
        <w:rPr>
          <w:rFonts w:eastAsia="Times New Roman"/>
          <w:szCs w:val="24"/>
        </w:rPr>
        <w:t>LPCiminelli</w:t>
      </w:r>
      <w:proofErr w:type="spellEnd"/>
      <w:r w:rsidRPr="00A71432">
        <w:rPr>
          <w:rFonts w:eastAsia="Times New Roman"/>
          <w:szCs w:val="24"/>
        </w:rPr>
        <w:t xml:space="preserve"> to receive</w:t>
      </w:r>
      <w:r w:rsidR="00A71432" w:rsidRPr="00A71432">
        <w:rPr>
          <w:rFonts w:eastAsia="Times New Roman"/>
          <w:szCs w:val="24"/>
        </w:rPr>
        <w:t xml:space="preserve"> </w:t>
      </w:r>
      <w:r w:rsidRPr="00A71432">
        <w:rPr>
          <w:rFonts w:eastAsia="Times New Roman"/>
          <w:szCs w:val="24"/>
        </w:rPr>
        <w:t xml:space="preserve">major Buffalo Billion contracts by designating </w:t>
      </w:r>
      <w:proofErr w:type="spellStart"/>
      <w:r w:rsidRPr="00A71432">
        <w:rPr>
          <w:rFonts w:eastAsia="Times New Roman"/>
          <w:szCs w:val="24"/>
        </w:rPr>
        <w:t>LPCiminelli</w:t>
      </w:r>
      <w:proofErr w:type="spellEnd"/>
      <w:r w:rsidRPr="00A71432">
        <w:rPr>
          <w:rFonts w:eastAsia="Times New Roman"/>
          <w:szCs w:val="24"/>
        </w:rPr>
        <w:t xml:space="preserve"> as a “preferred developer” with priority status to negotiate for specific projects. Kaloyeros, Howe, and </w:t>
      </w:r>
      <w:proofErr w:type="spellStart"/>
      <w:r w:rsidRPr="00A71432">
        <w:rPr>
          <w:rFonts w:eastAsia="Times New Roman"/>
          <w:szCs w:val="24"/>
        </w:rPr>
        <w:t>Ciminelli</w:t>
      </w:r>
      <w:proofErr w:type="spellEnd"/>
      <w:r w:rsidRPr="00A71432">
        <w:rPr>
          <w:rFonts w:eastAsia="Times New Roman"/>
          <w:szCs w:val="24"/>
        </w:rPr>
        <w:t xml:space="preserve"> jointly developed a set of requests for</w:t>
      </w:r>
      <w:r w:rsidR="00A71432" w:rsidRPr="00A71432">
        <w:rPr>
          <w:rFonts w:eastAsia="Times New Roman"/>
          <w:szCs w:val="24"/>
        </w:rPr>
        <w:t xml:space="preserve"> </w:t>
      </w:r>
      <w:r w:rsidRPr="00A71432">
        <w:rPr>
          <w:rFonts w:eastAsia="Times New Roman"/>
          <w:szCs w:val="24"/>
        </w:rPr>
        <w:t xml:space="preserve">proposal (RFPs) that effectively guaranteed </w:t>
      </w:r>
      <w:proofErr w:type="spellStart"/>
      <w:r w:rsidRPr="00A71432">
        <w:rPr>
          <w:rFonts w:eastAsia="Times New Roman"/>
          <w:szCs w:val="24"/>
        </w:rPr>
        <w:t>LPCiminelli’s</w:t>
      </w:r>
      <w:proofErr w:type="spellEnd"/>
      <w:r w:rsidRPr="00A71432">
        <w:rPr>
          <w:rFonts w:eastAsia="Times New Roman"/>
          <w:szCs w:val="24"/>
        </w:rPr>
        <w:t xml:space="preserve"> selection as a preferred developer by treating unique aspects of </w:t>
      </w:r>
      <w:proofErr w:type="spellStart"/>
      <w:r w:rsidRPr="00A71432">
        <w:rPr>
          <w:rFonts w:eastAsia="Times New Roman"/>
          <w:szCs w:val="24"/>
        </w:rPr>
        <w:t>LPCiminelli</w:t>
      </w:r>
      <w:proofErr w:type="spellEnd"/>
      <w:r w:rsidRPr="00A71432">
        <w:rPr>
          <w:rFonts w:eastAsia="Times New Roman"/>
          <w:szCs w:val="24"/>
        </w:rPr>
        <w:t xml:space="preserve"> as qualifications for preferred-developer status. With that status in hand, </w:t>
      </w:r>
      <w:proofErr w:type="spellStart"/>
      <w:r w:rsidRPr="00A71432">
        <w:rPr>
          <w:rFonts w:eastAsia="Times New Roman"/>
          <w:szCs w:val="24"/>
        </w:rPr>
        <w:t>LPCiminelli</w:t>
      </w:r>
      <w:proofErr w:type="spellEnd"/>
      <w:r w:rsidRPr="00A71432">
        <w:rPr>
          <w:rFonts w:eastAsia="Times New Roman"/>
          <w:szCs w:val="24"/>
        </w:rPr>
        <w:t xml:space="preserve"> secured the marquee $750 million “Riverbend project” in Buffalo. After the scheme was uncovered, </w:t>
      </w:r>
      <w:proofErr w:type="spellStart"/>
      <w:r w:rsidRPr="00A71432">
        <w:rPr>
          <w:rFonts w:eastAsia="Times New Roman"/>
          <w:szCs w:val="24"/>
        </w:rPr>
        <w:t>Ciminelli</w:t>
      </w:r>
      <w:proofErr w:type="spellEnd"/>
      <w:r w:rsidRPr="00A71432">
        <w:rPr>
          <w:rFonts w:eastAsia="Times New Roman"/>
          <w:szCs w:val="24"/>
        </w:rPr>
        <w:t>, Kaloyeros, Howe, and others were indicted for, as relevant here, wire fraud in violation of 18 U. S. C. §1343 and conspiracy to commit the same under §1349. In the operative indictment and at trial, the Government relied</w:t>
      </w:r>
      <w:r w:rsidR="00A71432" w:rsidRPr="00A71432">
        <w:rPr>
          <w:rFonts w:eastAsia="Times New Roman"/>
          <w:szCs w:val="24"/>
        </w:rPr>
        <w:t xml:space="preserve"> </w:t>
      </w:r>
      <w:r w:rsidRPr="00A71432">
        <w:rPr>
          <w:rFonts w:eastAsia="Times New Roman"/>
          <w:szCs w:val="24"/>
        </w:rPr>
        <w:t>solely on the Second Circuit’s right-to-control theory of wire fraud, under which the Government can establish wire fraud by showing that</w:t>
      </w:r>
      <w:r w:rsidR="00A71432" w:rsidRPr="00A71432">
        <w:rPr>
          <w:rFonts w:eastAsia="Times New Roman"/>
          <w:szCs w:val="24"/>
        </w:rPr>
        <w:t xml:space="preserve"> the defendant schemed to deprive a victim of potentially valuable economic information necessary to make discretionary economic decisions. Consistent with that theory, the District Court instructed the jury that the term “property” in §1343 “includes intangible interests such as the right to control the use of one’s assets,” which could be harmed by depriving Fort Schuyler of “potentially valuable economic information.” The jury convicted </w:t>
      </w:r>
      <w:proofErr w:type="spellStart"/>
      <w:r w:rsidR="00A71432" w:rsidRPr="00A71432">
        <w:rPr>
          <w:rFonts w:eastAsia="Times New Roman"/>
          <w:szCs w:val="24"/>
        </w:rPr>
        <w:t>Ciminelli</w:t>
      </w:r>
      <w:proofErr w:type="spellEnd"/>
      <w:r w:rsidR="00A71432" w:rsidRPr="00A71432">
        <w:rPr>
          <w:rFonts w:eastAsia="Times New Roman"/>
          <w:szCs w:val="24"/>
        </w:rPr>
        <w:t xml:space="preserve"> of wire fraud and conspiracy to commit wire fraud. On appeal, </w:t>
      </w:r>
      <w:proofErr w:type="spellStart"/>
      <w:r w:rsidR="00A71432" w:rsidRPr="00A71432">
        <w:rPr>
          <w:rFonts w:eastAsia="Times New Roman"/>
          <w:szCs w:val="24"/>
        </w:rPr>
        <w:t>Ciminelli</w:t>
      </w:r>
      <w:proofErr w:type="spellEnd"/>
      <w:r w:rsidR="00A71432" w:rsidRPr="00A71432">
        <w:rPr>
          <w:rFonts w:eastAsia="Times New Roman"/>
          <w:szCs w:val="24"/>
        </w:rPr>
        <w:t xml:space="preserve"> argued that the right to control one’s assets is not “property” for purposes of §1343. The Second Circuit affirmed the convictions on the basis of its longstanding right-to-control precedents.  </w:t>
      </w:r>
      <w:r w:rsidR="00A71432" w:rsidRPr="00A71432">
        <w:rPr>
          <w:rFonts w:eastAsia="Times New Roman"/>
          <w:b/>
          <w:bCs/>
          <w:szCs w:val="24"/>
        </w:rPr>
        <w:t>Held:</w:t>
      </w:r>
      <w:r w:rsidR="00A71432" w:rsidRPr="00A71432">
        <w:rPr>
          <w:rFonts w:eastAsia="Times New Roman"/>
          <w:szCs w:val="24"/>
        </w:rPr>
        <w:t xml:space="preserve"> Because the right to valuable economic information needed to make discretionary economic decisions is not a traditional property interest, the Second Circuit’s right-to-control theory cannot form the basis for a conviction under the federal fraud statutes.</w:t>
      </w:r>
      <w:r w:rsidR="006346C2">
        <w:rPr>
          <w:rFonts w:eastAsia="Times New Roman"/>
          <w:szCs w:val="24"/>
        </w:rPr>
        <w:br/>
      </w:r>
    </w:p>
    <w:p w14:paraId="55920CE1" w14:textId="0F3FC75A" w:rsidR="00C8730D" w:rsidRPr="006346C2" w:rsidRDefault="006346C2" w:rsidP="00EA16E4">
      <w:pPr>
        <w:numPr>
          <w:ilvl w:val="0"/>
          <w:numId w:val="2"/>
        </w:numPr>
        <w:spacing w:before="100" w:beforeAutospacing="1" w:after="100" w:afterAutospacing="1" w:line="240" w:lineRule="auto"/>
        <w:rPr>
          <w:rFonts w:eastAsia="Times New Roman"/>
          <w:szCs w:val="24"/>
        </w:rPr>
      </w:pPr>
      <w:r w:rsidRPr="006346C2">
        <w:rPr>
          <w:rFonts w:eastAsia="Times New Roman"/>
          <w:i/>
          <w:iCs/>
          <w:szCs w:val="24"/>
        </w:rPr>
        <w:t>Counterman v. Colorado</w:t>
      </w:r>
      <w:r w:rsidRPr="006346C2">
        <w:rPr>
          <w:rFonts w:eastAsia="Times New Roman"/>
          <w:szCs w:val="24"/>
        </w:rPr>
        <w:t xml:space="preserve">, No. 22-138, decided June 27, 2023 </w:t>
      </w:r>
      <w:r w:rsidRPr="006346C2">
        <w:rPr>
          <w:rFonts w:eastAsia="Times New Roman"/>
          <w:b/>
          <w:bCs/>
          <w:szCs w:val="24"/>
        </w:rPr>
        <w:t>[First Amendment, Awareness of Threats]</w:t>
      </w:r>
      <w:r w:rsidRPr="006346C2">
        <w:rPr>
          <w:rFonts w:eastAsia="Times New Roman"/>
          <w:szCs w:val="24"/>
        </w:rPr>
        <w:br/>
        <w:t>Kagan majority, Sotomayor concurring, Thomas dissenting, Barrett dissenting</w:t>
      </w:r>
      <w:r w:rsidRPr="006346C2">
        <w:rPr>
          <w:rFonts w:eastAsia="Times New Roman"/>
          <w:szCs w:val="24"/>
        </w:rPr>
        <w:br/>
      </w:r>
      <w:r w:rsidRPr="006346C2">
        <w:rPr>
          <w:rFonts w:eastAsia="Times New Roman"/>
          <w:szCs w:val="24"/>
        </w:rPr>
        <w:t>Counterman sent hundreds of Facebook messages to C. W., a local singer and musician. The two had never met, and C. W. did not respond. In fact, she tried repeatedly to</w:t>
      </w:r>
      <w:r w:rsidRPr="006346C2">
        <w:rPr>
          <w:rFonts w:eastAsia="Times New Roman"/>
          <w:szCs w:val="24"/>
        </w:rPr>
        <w:t xml:space="preserve"> </w:t>
      </w:r>
      <w:r w:rsidRPr="006346C2">
        <w:rPr>
          <w:rFonts w:eastAsia="Times New Roman"/>
          <w:szCs w:val="24"/>
        </w:rPr>
        <w:t xml:space="preserve">block him, but each time, Counterman created a new Facebook account and resumed contacting C. W. Several of his messages envisaged violent harm befalling her. Counterman’s messages put C. </w:t>
      </w:r>
      <w:r w:rsidRPr="006346C2">
        <w:rPr>
          <w:rFonts w:eastAsia="Times New Roman"/>
          <w:szCs w:val="24"/>
        </w:rPr>
        <w:lastRenderedPageBreak/>
        <w:t>W. in fear and</w:t>
      </w:r>
      <w:r w:rsidRPr="006346C2">
        <w:rPr>
          <w:rFonts w:eastAsia="Times New Roman"/>
          <w:szCs w:val="24"/>
        </w:rPr>
        <w:t xml:space="preserve"> </w:t>
      </w:r>
      <w:r w:rsidRPr="006346C2">
        <w:rPr>
          <w:rFonts w:eastAsia="Times New Roman"/>
          <w:szCs w:val="24"/>
        </w:rPr>
        <w:t>upended her daily existence: C. W. stopped walking alone, declined social engagements, and canceled some of her performances. C. W. eventually contacted the authorities. The State charged Counterman under a Colorado statute making it unlawful to “[r]</w:t>
      </w:r>
      <w:proofErr w:type="spellStart"/>
      <w:r w:rsidRPr="006346C2">
        <w:rPr>
          <w:rFonts w:eastAsia="Times New Roman"/>
          <w:szCs w:val="24"/>
        </w:rPr>
        <w:t>epeatedly</w:t>
      </w:r>
      <w:proofErr w:type="spellEnd"/>
      <w:r w:rsidRPr="006346C2">
        <w:rPr>
          <w:rFonts w:eastAsia="Times New Roman"/>
          <w:szCs w:val="24"/>
        </w:rPr>
        <w:t xml:space="preserve"> . . . make[] any form of communication with another person” in “a manner that would cause a reasonable person to suffer serious emotional distress and does cause that person . . . to suffer serious emotional distress.” Colo. Rev. Stat. §18–3–602(1)(c). Counterman moved to dismiss the charge on First Amendment grounds, arguing that his messages were</w:t>
      </w:r>
      <w:r w:rsidRPr="006346C2">
        <w:rPr>
          <w:rFonts w:eastAsia="Times New Roman"/>
          <w:szCs w:val="24"/>
        </w:rPr>
        <w:t xml:space="preserve"> </w:t>
      </w:r>
      <w:r w:rsidRPr="006346C2">
        <w:rPr>
          <w:rFonts w:eastAsia="Times New Roman"/>
          <w:szCs w:val="24"/>
        </w:rPr>
        <w:t>not “true threats” and therefore could not form the basis of a criminal prosecution. Following Colorado law, the trial court rejected that argument under an objective standard, finding that a reasonable person</w:t>
      </w:r>
      <w:r w:rsidRPr="006346C2">
        <w:rPr>
          <w:rFonts w:eastAsia="Times New Roman"/>
          <w:szCs w:val="24"/>
        </w:rPr>
        <w:t xml:space="preserve"> </w:t>
      </w:r>
      <w:r w:rsidRPr="006346C2">
        <w:rPr>
          <w:rFonts w:eastAsia="Times New Roman"/>
          <w:szCs w:val="24"/>
        </w:rPr>
        <w:t>would consider the messages threatening. Counterman appealed, arguing that the First Amendment required the State to show not only that his statements were objectively threatening, but also that he was aware of their threatening character. The Colorado Court of Appeals disagreed and affirmed his conviction. The Colorado Supreme Court</w:t>
      </w:r>
      <w:r w:rsidRPr="006346C2">
        <w:rPr>
          <w:rFonts w:eastAsia="Times New Roman"/>
          <w:szCs w:val="24"/>
        </w:rPr>
        <w:t xml:space="preserve"> </w:t>
      </w:r>
      <w:r w:rsidRPr="006346C2">
        <w:rPr>
          <w:rFonts w:eastAsia="Times New Roman"/>
          <w:szCs w:val="24"/>
        </w:rPr>
        <w:t>denied review.</w:t>
      </w:r>
      <w:r w:rsidRPr="006346C2">
        <w:rPr>
          <w:rFonts w:eastAsia="Times New Roman"/>
          <w:szCs w:val="24"/>
        </w:rPr>
        <w:t xml:space="preserve">  </w:t>
      </w:r>
      <w:r w:rsidRPr="006346C2">
        <w:rPr>
          <w:rFonts w:eastAsia="Times New Roman"/>
          <w:b/>
          <w:bCs/>
          <w:szCs w:val="24"/>
        </w:rPr>
        <w:t>Held:</w:t>
      </w:r>
      <w:r w:rsidRPr="006346C2">
        <w:rPr>
          <w:rFonts w:eastAsia="Times New Roman"/>
          <w:szCs w:val="24"/>
        </w:rPr>
        <w:t xml:space="preserve"> The State must prove in true-threats cases that the defendant had</w:t>
      </w:r>
      <w:r>
        <w:rPr>
          <w:rFonts w:eastAsia="Times New Roman"/>
          <w:szCs w:val="24"/>
        </w:rPr>
        <w:t xml:space="preserve"> </w:t>
      </w:r>
      <w:r w:rsidRPr="006346C2">
        <w:rPr>
          <w:rFonts w:eastAsia="Times New Roman"/>
          <w:szCs w:val="24"/>
        </w:rPr>
        <w:t>some subjective understanding of his statements’ threatening nature, but the First Amendment requires no more demanding a showing than recklessness.</w:t>
      </w:r>
      <w:r>
        <w:rPr>
          <w:rFonts w:eastAsia="Times New Roman"/>
          <w:szCs w:val="24"/>
        </w:rPr>
        <w:t xml:space="preserve">  </w:t>
      </w:r>
      <w:r w:rsidRPr="006346C2">
        <w:rPr>
          <w:rFonts w:eastAsia="Times New Roman"/>
          <w:szCs w:val="24"/>
        </w:rPr>
        <w:t>In this context, a recklessness standard—i.e., a showing that a person “consciously disregard[ed] a substantial [and unjustifiable] risk</w:t>
      </w:r>
      <w:r>
        <w:rPr>
          <w:rFonts w:eastAsia="Times New Roman"/>
          <w:szCs w:val="24"/>
        </w:rPr>
        <w:t xml:space="preserve"> </w:t>
      </w:r>
      <w:r w:rsidRPr="006346C2">
        <w:rPr>
          <w:rFonts w:eastAsia="Times New Roman"/>
          <w:szCs w:val="24"/>
        </w:rPr>
        <w:t xml:space="preserve">that [his] conduct will cause harm to another,” </w:t>
      </w:r>
      <w:proofErr w:type="spellStart"/>
      <w:r w:rsidRPr="006346C2">
        <w:rPr>
          <w:rFonts w:eastAsia="Times New Roman"/>
          <w:i/>
          <w:iCs/>
          <w:szCs w:val="24"/>
        </w:rPr>
        <w:t>Voisine</w:t>
      </w:r>
      <w:proofErr w:type="spellEnd"/>
      <w:r w:rsidRPr="006346C2">
        <w:rPr>
          <w:rFonts w:eastAsia="Times New Roman"/>
          <w:i/>
          <w:iCs/>
          <w:szCs w:val="24"/>
        </w:rPr>
        <w:t xml:space="preserve"> v. United States</w:t>
      </w:r>
      <w:r w:rsidRPr="006346C2">
        <w:rPr>
          <w:rFonts w:eastAsia="Times New Roman"/>
          <w:szCs w:val="24"/>
        </w:rPr>
        <w:t>, 579 U. S. 686, 691</w:t>
      </w:r>
      <w:r>
        <w:rPr>
          <w:rFonts w:eastAsia="Times New Roman"/>
          <w:szCs w:val="24"/>
        </w:rPr>
        <w:t>(2016)</w:t>
      </w:r>
      <w:r w:rsidRPr="006346C2">
        <w:rPr>
          <w:rFonts w:eastAsia="Times New Roman"/>
          <w:szCs w:val="24"/>
        </w:rPr>
        <w:t xml:space="preserve">—is the appropriate </w:t>
      </w:r>
      <w:proofErr w:type="spellStart"/>
      <w:r w:rsidRPr="006346C2">
        <w:rPr>
          <w:rFonts w:eastAsia="Times New Roman"/>
          <w:i/>
          <w:iCs/>
          <w:szCs w:val="24"/>
        </w:rPr>
        <w:t>mens</w:t>
      </w:r>
      <w:proofErr w:type="spellEnd"/>
      <w:r w:rsidRPr="006346C2">
        <w:rPr>
          <w:rFonts w:eastAsia="Times New Roman"/>
          <w:i/>
          <w:iCs/>
          <w:szCs w:val="24"/>
        </w:rPr>
        <w:t xml:space="preserve"> rea</w:t>
      </w:r>
      <w:r w:rsidRPr="006346C2">
        <w:rPr>
          <w:rFonts w:eastAsia="Times New Roman"/>
          <w:szCs w:val="24"/>
        </w:rPr>
        <w:t>.</w:t>
      </w:r>
      <w:r w:rsidR="00C8730D" w:rsidRPr="006346C2">
        <w:rPr>
          <w:rFonts w:eastAsia="Times New Roman"/>
          <w:i/>
          <w:iCs/>
          <w:szCs w:val="24"/>
        </w:rPr>
        <w:br/>
      </w:r>
    </w:p>
    <w:p w14:paraId="051A2A26" w14:textId="77777777" w:rsidR="00097839" w:rsidRDefault="00E71F4D" w:rsidP="00E71F4D">
      <w:pPr>
        <w:numPr>
          <w:ilvl w:val="0"/>
          <w:numId w:val="2"/>
        </w:numPr>
        <w:spacing w:before="100" w:beforeAutospacing="1" w:after="100" w:afterAutospacing="1" w:line="240" w:lineRule="auto"/>
        <w:rPr>
          <w:rFonts w:eastAsia="Times New Roman"/>
          <w:szCs w:val="24"/>
        </w:rPr>
      </w:pPr>
      <w:r w:rsidRPr="00E71F4D">
        <w:rPr>
          <w:rFonts w:eastAsia="Times New Roman"/>
          <w:i/>
          <w:iCs/>
          <w:szCs w:val="24"/>
        </w:rPr>
        <w:t>Cruz v. Arizona</w:t>
      </w:r>
      <w:r w:rsidRPr="00E71F4D">
        <w:rPr>
          <w:rFonts w:eastAsia="Times New Roman"/>
          <w:szCs w:val="24"/>
        </w:rPr>
        <w:t xml:space="preserve">, No. 21-846, decided February 22, 2023 </w:t>
      </w:r>
      <w:r w:rsidRPr="00E71F4D">
        <w:rPr>
          <w:rFonts w:eastAsia="Times New Roman"/>
          <w:b/>
          <w:bCs/>
          <w:szCs w:val="24"/>
        </w:rPr>
        <w:t>[Failure to Give Jury Instruction Regarding Life Without Parole]</w:t>
      </w:r>
      <w:r w:rsidRPr="00E71F4D">
        <w:rPr>
          <w:rFonts w:eastAsia="Times New Roman"/>
          <w:szCs w:val="24"/>
        </w:rPr>
        <w:br/>
        <w:t>Sotomayor majority, Barrett dissenting</w:t>
      </w:r>
      <w:r w:rsidRPr="00E71F4D">
        <w:rPr>
          <w:rFonts w:eastAsia="Times New Roman"/>
          <w:szCs w:val="24"/>
        </w:rPr>
        <w:br/>
        <w:t xml:space="preserve">Cruz was found guilty of capital murder by an Arizona jury and sentenced to death. Both at trial and on direct appeal, Cruz argued that under </w:t>
      </w:r>
      <w:r w:rsidRPr="00E71F4D">
        <w:rPr>
          <w:rFonts w:eastAsia="Times New Roman"/>
          <w:i/>
          <w:iCs/>
          <w:szCs w:val="24"/>
        </w:rPr>
        <w:t>Simmons v. South Carolina</w:t>
      </w:r>
      <w:r w:rsidRPr="00E71F4D">
        <w:rPr>
          <w:rFonts w:eastAsia="Times New Roman"/>
          <w:szCs w:val="24"/>
        </w:rPr>
        <w:t xml:space="preserve">, 512 U. S. 154 (1994), he should have been allowed to inform the jury that a life sentence in Arizona would be without parole. The trial court and Arizona Supreme Court held that Arizona’s capital sentencing scheme did not trigger application of </w:t>
      </w:r>
      <w:r w:rsidRPr="00E71F4D">
        <w:rPr>
          <w:rFonts w:eastAsia="Times New Roman"/>
          <w:i/>
          <w:iCs/>
          <w:szCs w:val="24"/>
        </w:rPr>
        <w:t>Simmons</w:t>
      </w:r>
      <w:r w:rsidRPr="00E71F4D">
        <w:rPr>
          <w:rFonts w:eastAsia="Times New Roman"/>
          <w:szCs w:val="24"/>
        </w:rPr>
        <w:t xml:space="preserve">. After Cruz’s conviction became final, this Court held in </w:t>
      </w:r>
      <w:r w:rsidRPr="00E71F4D">
        <w:rPr>
          <w:rFonts w:eastAsia="Times New Roman"/>
          <w:i/>
          <w:iCs/>
          <w:szCs w:val="24"/>
        </w:rPr>
        <w:t>Lynch v. Arizona</w:t>
      </w:r>
      <w:r w:rsidRPr="00E71F4D">
        <w:rPr>
          <w:rFonts w:eastAsia="Times New Roman"/>
          <w:szCs w:val="24"/>
        </w:rPr>
        <w:t xml:space="preserve">, 578 U. S. 613 (2016) (per </w:t>
      </w:r>
      <w:proofErr w:type="spellStart"/>
      <w:r w:rsidRPr="00E71F4D">
        <w:rPr>
          <w:rFonts w:eastAsia="Times New Roman"/>
          <w:szCs w:val="24"/>
        </w:rPr>
        <w:t>curiam</w:t>
      </w:r>
      <w:proofErr w:type="spellEnd"/>
      <w:r w:rsidRPr="00E71F4D">
        <w:rPr>
          <w:rFonts w:eastAsia="Times New Roman"/>
          <w:szCs w:val="24"/>
        </w:rPr>
        <w:t xml:space="preserve">), that it was fundamental error to conclude that </w:t>
      </w:r>
      <w:r w:rsidRPr="00E71F4D">
        <w:rPr>
          <w:rFonts w:eastAsia="Times New Roman"/>
          <w:i/>
          <w:iCs/>
          <w:szCs w:val="24"/>
        </w:rPr>
        <w:t>Simmons</w:t>
      </w:r>
      <w:r w:rsidRPr="00E71F4D">
        <w:rPr>
          <w:rFonts w:eastAsia="Times New Roman"/>
          <w:szCs w:val="24"/>
        </w:rPr>
        <w:t xml:space="preserve"> “did not apply” in Arizona. </w:t>
      </w:r>
      <w:r w:rsidRPr="00E71F4D">
        <w:rPr>
          <w:rFonts w:eastAsia="Times New Roman"/>
          <w:i/>
          <w:iCs/>
          <w:szCs w:val="24"/>
        </w:rPr>
        <w:t>Id</w:t>
      </w:r>
      <w:r w:rsidRPr="00E71F4D">
        <w:rPr>
          <w:rFonts w:eastAsia="Times New Roman"/>
          <w:szCs w:val="24"/>
        </w:rPr>
        <w:t xml:space="preserve">., at 615. Cruz then sought to raise the </w:t>
      </w:r>
      <w:r w:rsidRPr="00E71F4D">
        <w:rPr>
          <w:rFonts w:eastAsia="Times New Roman"/>
          <w:i/>
          <w:iCs/>
          <w:szCs w:val="24"/>
        </w:rPr>
        <w:t>Simmons</w:t>
      </w:r>
      <w:r w:rsidRPr="00E71F4D">
        <w:rPr>
          <w:rFonts w:eastAsia="Times New Roman"/>
          <w:szCs w:val="24"/>
        </w:rPr>
        <w:t xml:space="preserve"> issue again in a state postconviction petition under Arizona Rule of Criminal Procedure 32.1(g), which permits a defendant to bring a successive petition if “there has been a significant change in the law that, if applicable to the defendant’s case, would probably overturn the defendant’s judgment or sentence.” The Arizona Supreme Court denied relief after concluding that </w:t>
      </w:r>
      <w:r w:rsidRPr="00E71F4D">
        <w:rPr>
          <w:rFonts w:eastAsia="Times New Roman"/>
          <w:i/>
          <w:iCs/>
          <w:szCs w:val="24"/>
        </w:rPr>
        <w:t>Lynch</w:t>
      </w:r>
      <w:r w:rsidRPr="00E71F4D">
        <w:rPr>
          <w:rFonts w:eastAsia="Times New Roman"/>
          <w:szCs w:val="24"/>
        </w:rPr>
        <w:t xml:space="preserve"> was not “a significant change in the law.”  </w:t>
      </w:r>
      <w:r w:rsidRPr="00E71F4D">
        <w:rPr>
          <w:rFonts w:eastAsia="Times New Roman"/>
          <w:b/>
          <w:bCs/>
          <w:szCs w:val="24"/>
        </w:rPr>
        <w:t>Held:</w:t>
      </w:r>
      <w:r w:rsidRPr="00E71F4D">
        <w:rPr>
          <w:rFonts w:eastAsia="Times New Roman"/>
          <w:szCs w:val="24"/>
        </w:rPr>
        <w:t xml:space="preserve"> </w:t>
      </w:r>
      <w:r w:rsidR="00A23B36">
        <w:rPr>
          <w:rFonts w:eastAsia="Times New Roman"/>
          <w:szCs w:val="24"/>
        </w:rPr>
        <w:t xml:space="preserve"> </w:t>
      </w:r>
      <w:r w:rsidRPr="00E71F4D">
        <w:rPr>
          <w:rFonts w:eastAsia="Times New Roman"/>
          <w:szCs w:val="24"/>
        </w:rPr>
        <w:t xml:space="preserve">The Arizona Supreme Court’s holding that </w:t>
      </w:r>
      <w:r w:rsidRPr="00E71F4D">
        <w:rPr>
          <w:rFonts w:eastAsia="Times New Roman"/>
          <w:i/>
          <w:iCs/>
          <w:szCs w:val="24"/>
        </w:rPr>
        <w:t>Lynch</w:t>
      </w:r>
      <w:r w:rsidRPr="00E71F4D">
        <w:rPr>
          <w:rFonts w:eastAsia="Times New Roman"/>
          <w:szCs w:val="24"/>
        </w:rPr>
        <w:t xml:space="preserve"> was not a significant change in the law is an exceptional case where a state-court judgment rests on such a novel and unforeseeable interpretation of a state-court procedural rule that the decision is not adequate to foreclose review of the federal claim.</w:t>
      </w:r>
      <w:r w:rsidR="00097839">
        <w:rPr>
          <w:rFonts w:eastAsia="Times New Roman"/>
          <w:szCs w:val="24"/>
        </w:rPr>
        <w:br/>
      </w:r>
    </w:p>
    <w:p w14:paraId="6CA3DC3A" w14:textId="7976849E" w:rsidR="00E170C8" w:rsidRPr="00097839" w:rsidRDefault="00097839" w:rsidP="00470B69">
      <w:pPr>
        <w:numPr>
          <w:ilvl w:val="0"/>
          <w:numId w:val="2"/>
        </w:numPr>
        <w:spacing w:before="100" w:beforeAutospacing="1" w:after="100" w:afterAutospacing="1" w:line="240" w:lineRule="auto"/>
        <w:rPr>
          <w:rFonts w:eastAsia="Times New Roman"/>
          <w:szCs w:val="24"/>
        </w:rPr>
      </w:pPr>
      <w:proofErr w:type="spellStart"/>
      <w:r w:rsidRPr="00097839">
        <w:rPr>
          <w:rFonts w:eastAsia="Times New Roman"/>
          <w:i/>
          <w:iCs/>
          <w:szCs w:val="24"/>
        </w:rPr>
        <w:t>Dubin</w:t>
      </w:r>
      <w:proofErr w:type="spellEnd"/>
      <w:r w:rsidRPr="00097839">
        <w:rPr>
          <w:rFonts w:eastAsia="Times New Roman"/>
          <w:i/>
          <w:iCs/>
          <w:szCs w:val="24"/>
        </w:rPr>
        <w:t xml:space="preserve"> v. United States</w:t>
      </w:r>
      <w:r w:rsidRPr="00097839">
        <w:rPr>
          <w:rFonts w:eastAsia="Times New Roman"/>
          <w:szCs w:val="24"/>
        </w:rPr>
        <w:t xml:space="preserve">, No. 22-10, decided June 8, 2023 </w:t>
      </w:r>
      <w:r w:rsidRPr="00097839">
        <w:rPr>
          <w:rFonts w:eastAsia="Times New Roman"/>
          <w:b/>
          <w:bCs/>
          <w:szCs w:val="24"/>
        </w:rPr>
        <w:t>[Aggravated Identity Theft]</w:t>
      </w:r>
      <w:r w:rsidRPr="00097839">
        <w:rPr>
          <w:rFonts w:eastAsia="Times New Roman"/>
          <w:szCs w:val="24"/>
        </w:rPr>
        <w:br/>
        <w:t>Sotomayor unanimous, Gorsuch concurring</w:t>
      </w:r>
      <w:r w:rsidRPr="00097839">
        <w:rPr>
          <w:rFonts w:eastAsia="Times New Roman"/>
          <w:szCs w:val="24"/>
        </w:rPr>
        <w:br/>
      </w:r>
      <w:proofErr w:type="spellStart"/>
      <w:r w:rsidRPr="00097839">
        <w:rPr>
          <w:rFonts w:eastAsia="Times New Roman"/>
          <w:szCs w:val="24"/>
        </w:rPr>
        <w:t>Dubin</w:t>
      </w:r>
      <w:proofErr w:type="spellEnd"/>
      <w:r w:rsidRPr="00097839">
        <w:rPr>
          <w:rFonts w:eastAsia="Times New Roman"/>
          <w:szCs w:val="24"/>
        </w:rPr>
        <w:t xml:space="preserve"> was convicted of healthcare fraud under 18 U. S. C. §1347 after he overbilled Medicaid for psychological testing performed by the company he helped manage. The question is whether, in defrauding Medicaid, he also committed “[a]</w:t>
      </w:r>
      <w:proofErr w:type="spellStart"/>
      <w:r w:rsidRPr="00097839">
        <w:rPr>
          <w:rFonts w:eastAsia="Times New Roman"/>
          <w:szCs w:val="24"/>
        </w:rPr>
        <w:t>ggravated</w:t>
      </w:r>
      <w:proofErr w:type="spellEnd"/>
      <w:r w:rsidRPr="00097839">
        <w:rPr>
          <w:rFonts w:eastAsia="Times New Roman"/>
          <w:szCs w:val="24"/>
        </w:rPr>
        <w:t xml:space="preserve"> identity theft” under §1028A(a)(1). Section 1028A(a)(1) applies when a defendant, “during and in relation </w:t>
      </w:r>
      <w:r w:rsidRPr="00097839">
        <w:rPr>
          <w:rFonts w:eastAsia="Times New Roman"/>
          <w:szCs w:val="24"/>
        </w:rPr>
        <w:lastRenderedPageBreak/>
        <w:t xml:space="preserve">to any [predicate offense, such as healthcare fraud], knowingly transfers, possesses, or uses, without lawful authority, a means of identification of another person.” The Government argued below that §1028A(a)(1) was automatically satisfied because </w:t>
      </w:r>
      <w:proofErr w:type="spellStart"/>
      <w:r w:rsidRPr="00097839">
        <w:rPr>
          <w:rFonts w:eastAsia="Times New Roman"/>
          <w:szCs w:val="24"/>
        </w:rPr>
        <w:t>Dubin’s</w:t>
      </w:r>
      <w:proofErr w:type="spellEnd"/>
      <w:r w:rsidRPr="00097839">
        <w:rPr>
          <w:rFonts w:eastAsia="Times New Roman"/>
          <w:szCs w:val="24"/>
        </w:rPr>
        <w:t xml:space="preserve"> fraudulent Medicaid billing included the patient’s Medicaid reimbursement number—a “means of identification.” Bound by Fifth Circuit precedent, the District Court allowed </w:t>
      </w:r>
      <w:proofErr w:type="spellStart"/>
      <w:r w:rsidRPr="00097839">
        <w:rPr>
          <w:rFonts w:eastAsia="Times New Roman"/>
          <w:szCs w:val="24"/>
        </w:rPr>
        <w:t>Dubin’s</w:t>
      </w:r>
      <w:proofErr w:type="spellEnd"/>
      <w:r w:rsidRPr="00097839">
        <w:rPr>
          <w:rFonts w:eastAsia="Times New Roman"/>
          <w:szCs w:val="24"/>
        </w:rPr>
        <w:t xml:space="preserve"> conviction for aggravated identity theft to stand, even though, in the District Court’s view, the crux of the case was fraudulent billing, not identity theft. The Fifth Circuit sitting </w:t>
      </w:r>
      <w:proofErr w:type="spellStart"/>
      <w:r w:rsidRPr="00097839">
        <w:rPr>
          <w:rFonts w:eastAsia="Times New Roman"/>
          <w:i/>
          <w:iCs/>
          <w:szCs w:val="24"/>
        </w:rPr>
        <w:t>en</w:t>
      </w:r>
      <w:proofErr w:type="spellEnd"/>
      <w:r w:rsidRPr="00097839">
        <w:rPr>
          <w:rFonts w:eastAsia="Times New Roman"/>
          <w:i/>
          <w:iCs/>
          <w:szCs w:val="24"/>
        </w:rPr>
        <w:t xml:space="preserve"> banc</w:t>
      </w:r>
      <w:r w:rsidRPr="00097839">
        <w:rPr>
          <w:rFonts w:eastAsia="Times New Roman"/>
          <w:szCs w:val="24"/>
        </w:rPr>
        <w:t xml:space="preserve"> affirmed in a fractured decision, with five concurring judges acknowledging that under the Government’s reading of §1028A(a)(1), “the elements of [the] offense </w:t>
      </w:r>
      <w:proofErr w:type="gramStart"/>
      <w:r w:rsidRPr="00097839">
        <w:rPr>
          <w:rFonts w:eastAsia="Times New Roman"/>
          <w:szCs w:val="24"/>
        </w:rPr>
        <w:t>are</w:t>
      </w:r>
      <w:proofErr w:type="gramEnd"/>
      <w:r w:rsidRPr="00097839">
        <w:rPr>
          <w:rFonts w:eastAsia="Times New Roman"/>
          <w:szCs w:val="24"/>
        </w:rPr>
        <w:t xml:space="preserve"> not captured or even fairly described by the words ‘identity theft.’ ” 27 F. 4th 1021, 1024 (opinion of Richman, C. J.). </w:t>
      </w:r>
      <w:r w:rsidRPr="00097839">
        <w:rPr>
          <w:rFonts w:eastAsia="Times New Roman"/>
          <w:b/>
          <w:bCs/>
          <w:szCs w:val="24"/>
        </w:rPr>
        <w:t>Held:</w:t>
      </w:r>
      <w:r w:rsidRPr="00097839">
        <w:rPr>
          <w:rFonts w:eastAsia="Times New Roman"/>
          <w:szCs w:val="24"/>
        </w:rPr>
        <w:t xml:space="preserve"> Under §1028A(a)(1), a defendant “uses” another person’s means of identification “in relation to” a predicate offense when the use is at the crux of what makes the conduct criminal.</w:t>
      </w:r>
      <w:r w:rsidR="00E170C8" w:rsidRPr="00097839">
        <w:rPr>
          <w:rFonts w:eastAsia="Times New Roman"/>
          <w:szCs w:val="24"/>
        </w:rPr>
        <w:br/>
      </w:r>
    </w:p>
    <w:p w14:paraId="6236190E" w14:textId="77777777" w:rsidR="00E60E92" w:rsidRDefault="00E170C8" w:rsidP="005E460D">
      <w:pPr>
        <w:numPr>
          <w:ilvl w:val="0"/>
          <w:numId w:val="2"/>
        </w:numPr>
        <w:spacing w:before="100" w:beforeAutospacing="1" w:after="100" w:afterAutospacing="1" w:line="240" w:lineRule="auto"/>
        <w:rPr>
          <w:rFonts w:eastAsia="Times New Roman"/>
          <w:szCs w:val="24"/>
        </w:rPr>
      </w:pPr>
      <w:r w:rsidRPr="00E170C8">
        <w:rPr>
          <w:rFonts w:eastAsia="Times New Roman"/>
          <w:i/>
          <w:iCs/>
          <w:szCs w:val="24"/>
        </w:rPr>
        <w:t>Dupree v. Younger</w:t>
      </w:r>
      <w:r w:rsidRPr="00E170C8">
        <w:rPr>
          <w:rFonts w:eastAsia="Times New Roman"/>
          <w:szCs w:val="24"/>
        </w:rPr>
        <w:t>, No. 22</w:t>
      </w:r>
      <w:r w:rsidR="005B0EE8">
        <w:rPr>
          <w:rFonts w:eastAsia="Times New Roman"/>
          <w:szCs w:val="24"/>
        </w:rPr>
        <w:t>-</w:t>
      </w:r>
      <w:r w:rsidRPr="00E170C8">
        <w:rPr>
          <w:rFonts w:eastAsia="Times New Roman"/>
          <w:szCs w:val="24"/>
        </w:rPr>
        <w:t xml:space="preserve">210, decided May 25, 2023 </w:t>
      </w:r>
      <w:r w:rsidRPr="00E170C8">
        <w:rPr>
          <w:rFonts w:eastAsia="Times New Roman"/>
          <w:b/>
          <w:bCs/>
          <w:szCs w:val="24"/>
        </w:rPr>
        <w:t>[Post-Trial Motion Under Rule 50]</w:t>
      </w:r>
      <w:r w:rsidRPr="00E170C8">
        <w:rPr>
          <w:rFonts w:eastAsia="Times New Roman"/>
          <w:szCs w:val="24"/>
        </w:rPr>
        <w:br/>
        <w:t>Barrett unanimous</w:t>
      </w:r>
      <w:r w:rsidRPr="00E170C8">
        <w:rPr>
          <w:rFonts w:eastAsia="Times New Roman"/>
          <w:szCs w:val="24"/>
        </w:rPr>
        <w:br/>
        <w:t xml:space="preserve">Respondent Kevin Younger claims that during his pretrial detention in a Maryland state prison, petitioner Neil Dupree, then a correctional officer lieutenant, ordered three prison guards to attack him. Younger sued Dupree for damages under 42 U. S. C. §1983, alleging excessive use of force. Prior to trial, Dupree moved for summary judgment under Federal Rule of Civil Procedure 56(a), arguing that Younger had failed to exhaust administrative remedies as required by law. Rule 56 requires a district court to enter judgment on a claim or defense if there is “no genuine dispute as to any material fact and the movant is entitled to judgment as a matter of law.” The District Court denied the motion, finding no dispute that the Maryland prison system had internally investigated Younger’s assault, and concluding that this inquiry satisfied Younger’s exhaustion obligation. At trial, Dupree did not present evidence relating to his exhaustion defense. The jury found Dupree and four codefendants liable and awarded Younger $700,000 in damages. Dupree did not file a post-trial motion under Rule 50(b), which allows a disappointed party to file a renewed motion for judgment as a matter of law. He appealed a single issue to the Fourth Circuit: </w:t>
      </w:r>
      <w:proofErr w:type="gramStart"/>
      <w:r w:rsidRPr="00E170C8">
        <w:rPr>
          <w:rFonts w:eastAsia="Times New Roman"/>
          <w:szCs w:val="24"/>
        </w:rPr>
        <w:t>the</w:t>
      </w:r>
      <w:proofErr w:type="gramEnd"/>
      <w:r w:rsidRPr="00E170C8">
        <w:rPr>
          <w:rFonts w:eastAsia="Times New Roman"/>
          <w:szCs w:val="24"/>
        </w:rPr>
        <w:t xml:space="preserve"> District Court’s rejection of his exhaustion defense. The Fourth Circuit—bound by its precedent which holds that any claim or defense rejected at summary judgment is not preserved for appellate review unless it was renewed in a post-trial motion—dismissed the appeal.  </w:t>
      </w:r>
      <w:r w:rsidRPr="00E170C8">
        <w:rPr>
          <w:rFonts w:eastAsia="Times New Roman"/>
          <w:b/>
          <w:bCs/>
          <w:szCs w:val="24"/>
        </w:rPr>
        <w:t>Held:</w:t>
      </w:r>
      <w:r w:rsidRPr="00E170C8">
        <w:rPr>
          <w:rFonts w:eastAsia="Times New Roman"/>
          <w:szCs w:val="24"/>
        </w:rPr>
        <w:t xml:space="preserve"> A post-trial motion under Rule 50 is not required to preserve for appellate review a purely legal issue resolved at summary judgment. In </w:t>
      </w:r>
      <w:r w:rsidRPr="006C7E2C">
        <w:rPr>
          <w:rFonts w:eastAsia="Times New Roman"/>
          <w:i/>
          <w:iCs/>
          <w:szCs w:val="24"/>
        </w:rPr>
        <w:t>Ortiz v. Jordan</w:t>
      </w:r>
      <w:r w:rsidRPr="00E170C8">
        <w:rPr>
          <w:rFonts w:eastAsia="Times New Roman"/>
          <w:szCs w:val="24"/>
        </w:rPr>
        <w:t>, the Court held that an order denying summary judgment on sufficiency-of-the-evidence grounds is not appealable after trial. 562 U. S. 180, 184. Because the factual record developed at  trial “supersedes the record existing at the time of the summary-judgment motion,” ibid., it follows that a party must raise a sufficiency claim in a post-trial motion in order to preserve it for appeal, id., at 191–192. That motion allows the district court to take first crack at the question that the appellate court will ultimately face: Was there sufficient evidence in the trial record to support the jury’s verdict?</w:t>
      </w:r>
      <w:r w:rsidR="0067733A">
        <w:rPr>
          <w:rFonts w:eastAsia="Times New Roman"/>
          <w:szCs w:val="24"/>
        </w:rPr>
        <w:t xml:space="preserve">  </w:t>
      </w:r>
      <w:r>
        <w:rPr>
          <w:rFonts w:eastAsia="Times New Roman"/>
          <w:szCs w:val="24"/>
        </w:rPr>
        <w:t>T</w:t>
      </w:r>
      <w:r w:rsidRPr="00E170C8">
        <w:rPr>
          <w:rFonts w:eastAsia="Times New Roman"/>
          <w:szCs w:val="24"/>
        </w:rPr>
        <w:t xml:space="preserve">he same is not true for pure questions of law resolved in an order denying summary judgment. These conclusions are not “supersede[d]” by later developments in the litigation, id., at 184, and so such rulings merge into the final judgment, at which point they are reviewable on appeal, Quackenbush v. Allstate Ins. Co., 517 U. S. 706, 712. The reviewing court does not benefit from having a district court reexamine a purely legal pretrial </w:t>
      </w:r>
      <w:r w:rsidRPr="00E170C8">
        <w:rPr>
          <w:rFonts w:eastAsia="Times New Roman"/>
          <w:szCs w:val="24"/>
        </w:rPr>
        <w:lastRenderedPageBreak/>
        <w:t>ruling after trial, because nothing at trial will have given the district court any reason to question its prior analysis.</w:t>
      </w:r>
      <w:r w:rsidR="00E60E92">
        <w:rPr>
          <w:rFonts w:eastAsia="Times New Roman"/>
          <w:szCs w:val="24"/>
        </w:rPr>
        <w:br/>
      </w:r>
    </w:p>
    <w:p w14:paraId="4E57EF43" w14:textId="1A775D46" w:rsidR="0067733A" w:rsidRPr="003C0624" w:rsidRDefault="00E60E92" w:rsidP="008E00EC">
      <w:pPr>
        <w:numPr>
          <w:ilvl w:val="0"/>
          <w:numId w:val="2"/>
        </w:numPr>
        <w:spacing w:before="100" w:beforeAutospacing="1" w:after="100" w:afterAutospacing="1" w:line="240" w:lineRule="auto"/>
        <w:rPr>
          <w:rFonts w:eastAsia="Times New Roman"/>
          <w:szCs w:val="24"/>
        </w:rPr>
      </w:pPr>
      <w:r w:rsidRPr="003C0624">
        <w:rPr>
          <w:rFonts w:eastAsia="Times New Roman"/>
          <w:i/>
          <w:iCs/>
          <w:szCs w:val="24"/>
        </w:rPr>
        <w:t>Jones v. Hendrix, Warden</w:t>
      </w:r>
      <w:r w:rsidRPr="003C0624">
        <w:rPr>
          <w:rFonts w:eastAsia="Times New Roman"/>
          <w:szCs w:val="24"/>
        </w:rPr>
        <w:t xml:space="preserve">, No. 21-857, decided June 23, 2023 </w:t>
      </w:r>
      <w:r w:rsidRPr="003C0624">
        <w:rPr>
          <w:rFonts w:eastAsia="Times New Roman"/>
          <w:b/>
          <w:bCs/>
          <w:szCs w:val="24"/>
        </w:rPr>
        <w:t xml:space="preserve">[Successive Petitions Under </w:t>
      </w:r>
      <w:r w:rsidR="00684323" w:rsidRPr="003C0624">
        <w:rPr>
          <w:rFonts w:eastAsia="Times New Roman"/>
          <w:b/>
          <w:bCs/>
          <w:szCs w:val="24"/>
        </w:rPr>
        <w:t xml:space="preserve">28 U.S.C. </w:t>
      </w:r>
      <w:r w:rsidRPr="003C0624">
        <w:rPr>
          <w:rFonts w:eastAsia="Times New Roman"/>
          <w:b/>
          <w:bCs/>
          <w:szCs w:val="24"/>
        </w:rPr>
        <w:t>§2255]</w:t>
      </w:r>
      <w:r w:rsidR="00684323" w:rsidRPr="003C0624">
        <w:rPr>
          <w:rFonts w:eastAsia="Times New Roman"/>
          <w:szCs w:val="24"/>
        </w:rPr>
        <w:br/>
        <w:t>Thomas majority, Sotomayor dissenting, Jackson dissenting</w:t>
      </w:r>
      <w:r w:rsidR="00684323" w:rsidRPr="003C0624">
        <w:rPr>
          <w:rFonts w:eastAsia="Times New Roman"/>
          <w:szCs w:val="24"/>
        </w:rPr>
        <w:br/>
        <w:t xml:space="preserve">In 2000, the District Court for the Western District of Missouri sentenced Jones after he was convicted on two counts of unlawful possession of a firearm by a felon, in violation of 18 U. S. C. §922(g)(1), and one count of making false statements to acquire a firearm. The Eighth Circuit affirmed Jones’ convictions and sentence. Jones then filed a motion pursuant to 28 U. S. C. §2255, which resulted in the vacatur of one of his concurrent §922(g) sentences. Many years later, this Court held in </w:t>
      </w:r>
      <w:proofErr w:type="spellStart"/>
      <w:r w:rsidR="00684323" w:rsidRPr="003C0624">
        <w:rPr>
          <w:rFonts w:eastAsia="Times New Roman"/>
          <w:i/>
          <w:iCs/>
          <w:szCs w:val="24"/>
        </w:rPr>
        <w:t>Rehaif</w:t>
      </w:r>
      <w:proofErr w:type="spellEnd"/>
      <w:r w:rsidR="00684323" w:rsidRPr="003C0624">
        <w:rPr>
          <w:rFonts w:eastAsia="Times New Roman"/>
          <w:i/>
          <w:iCs/>
          <w:szCs w:val="24"/>
        </w:rPr>
        <w:t xml:space="preserve"> v. United States</w:t>
      </w:r>
      <w:r w:rsidR="00684323" w:rsidRPr="003C0624">
        <w:rPr>
          <w:rFonts w:eastAsia="Times New Roman"/>
          <w:szCs w:val="24"/>
        </w:rPr>
        <w:t xml:space="preserve">, 588 U. S. ___, that a defendant’s knowledge of the status that disqualifies him from owning a firearm is an element of a §922(g) conviction.  </w:t>
      </w:r>
      <w:proofErr w:type="spellStart"/>
      <w:r w:rsidR="00684323" w:rsidRPr="003C0624">
        <w:rPr>
          <w:rFonts w:eastAsia="Times New Roman"/>
          <w:i/>
          <w:iCs/>
          <w:szCs w:val="24"/>
        </w:rPr>
        <w:t>Rehaif</w:t>
      </w:r>
      <w:proofErr w:type="spellEnd"/>
      <w:r w:rsidR="00684323" w:rsidRPr="003C0624">
        <w:rPr>
          <w:rFonts w:eastAsia="Times New Roman"/>
          <w:szCs w:val="24"/>
        </w:rPr>
        <w:t xml:space="preserve"> ’s holding abrogated contrary Eighth Circuit precedent applied by the courts in Jones’ trial and direct appeal. Seeking to collaterally</w:t>
      </w:r>
      <w:r w:rsidR="003C0624" w:rsidRPr="003C0624">
        <w:rPr>
          <w:rFonts w:eastAsia="Times New Roman"/>
          <w:szCs w:val="24"/>
        </w:rPr>
        <w:t xml:space="preserve"> </w:t>
      </w:r>
      <w:r w:rsidR="00684323" w:rsidRPr="003C0624">
        <w:rPr>
          <w:rFonts w:eastAsia="Times New Roman"/>
          <w:szCs w:val="24"/>
        </w:rPr>
        <w:t xml:space="preserve">attack his remaining §922(g) conviction based on </w:t>
      </w:r>
      <w:proofErr w:type="spellStart"/>
      <w:r w:rsidR="00684323" w:rsidRPr="003C0624">
        <w:rPr>
          <w:rFonts w:eastAsia="Times New Roman"/>
          <w:i/>
          <w:iCs/>
          <w:szCs w:val="24"/>
        </w:rPr>
        <w:t>Rehaif</w:t>
      </w:r>
      <w:proofErr w:type="spellEnd"/>
      <w:r w:rsidR="00684323" w:rsidRPr="003C0624">
        <w:rPr>
          <w:rFonts w:eastAsia="Times New Roman"/>
          <w:i/>
          <w:iCs/>
          <w:szCs w:val="24"/>
        </w:rPr>
        <w:t xml:space="preserve"> ’s</w:t>
      </w:r>
      <w:r w:rsidR="00684323" w:rsidRPr="003C0624">
        <w:rPr>
          <w:rFonts w:eastAsia="Times New Roman"/>
          <w:szCs w:val="24"/>
        </w:rPr>
        <w:t xml:space="preserve"> statutory holding, Jones filed a petition for a writ of habeas corpus under 28 U. S. C. §2241 in the district of his imprisonment, the Eastern District of Arkansas. The District Court dismissed Jones’ habeas petition for lack of subject-matter jurisdiction, and the Eighth Circuit affirmed.  </w:t>
      </w:r>
      <w:r w:rsidR="00684323" w:rsidRPr="003C0624">
        <w:rPr>
          <w:rFonts w:eastAsia="Times New Roman"/>
          <w:b/>
          <w:bCs/>
          <w:szCs w:val="24"/>
        </w:rPr>
        <w:t>Held:</w:t>
      </w:r>
      <w:r w:rsidR="00684323" w:rsidRPr="003C0624">
        <w:rPr>
          <w:rFonts w:eastAsia="Times New Roman"/>
          <w:szCs w:val="24"/>
        </w:rPr>
        <w:t xml:space="preserve"> Section 2255(e) does not allow a prisoner asserting an intervening change in interpretation of a criminal statute to circumvent the Antiterrorism and Effective Death Penalty Act of 1996’s (AEDPA) restrictions on second or successive §2255 motions by filing a §2241 habeas petition.</w:t>
      </w:r>
      <w:r w:rsidR="0067733A" w:rsidRPr="003C0624">
        <w:rPr>
          <w:rFonts w:eastAsia="Times New Roman"/>
          <w:szCs w:val="24"/>
        </w:rPr>
        <w:br/>
      </w:r>
    </w:p>
    <w:p w14:paraId="5B58241D" w14:textId="1050BD8C" w:rsidR="00C8730D" w:rsidRPr="0067733A" w:rsidRDefault="0067733A" w:rsidP="005D1CCF">
      <w:pPr>
        <w:numPr>
          <w:ilvl w:val="0"/>
          <w:numId w:val="2"/>
        </w:numPr>
        <w:spacing w:before="100" w:beforeAutospacing="1" w:after="100" w:afterAutospacing="1" w:line="240" w:lineRule="auto"/>
        <w:rPr>
          <w:rFonts w:eastAsia="Times New Roman"/>
          <w:szCs w:val="24"/>
        </w:rPr>
      </w:pPr>
      <w:r w:rsidRPr="0067733A">
        <w:rPr>
          <w:rFonts w:eastAsia="Times New Roman"/>
          <w:i/>
          <w:iCs/>
          <w:szCs w:val="24"/>
        </w:rPr>
        <w:t>Lora v. United States</w:t>
      </w:r>
      <w:r w:rsidRPr="0067733A">
        <w:rPr>
          <w:rFonts w:eastAsia="Times New Roman"/>
          <w:szCs w:val="24"/>
        </w:rPr>
        <w:t xml:space="preserve">, No. 22-49, decided June 16, 2023 </w:t>
      </w:r>
      <w:r w:rsidRPr="0067733A">
        <w:rPr>
          <w:rFonts w:eastAsia="Times New Roman"/>
          <w:b/>
          <w:bCs/>
          <w:szCs w:val="24"/>
        </w:rPr>
        <w:t>[Sentencing]</w:t>
      </w:r>
      <w:r w:rsidRPr="0067733A">
        <w:rPr>
          <w:rFonts w:eastAsia="Times New Roman"/>
          <w:szCs w:val="24"/>
        </w:rPr>
        <w:br/>
        <w:t>Jackson unanimous</w:t>
      </w:r>
      <w:r w:rsidRPr="0067733A">
        <w:rPr>
          <w:rFonts w:eastAsia="Times New Roman"/>
          <w:szCs w:val="24"/>
        </w:rPr>
        <w:br/>
      </w:r>
      <w:r>
        <w:rPr>
          <w:rFonts w:eastAsia="Times New Roman"/>
          <w:szCs w:val="24"/>
        </w:rPr>
        <w:t xml:space="preserve">A </w:t>
      </w:r>
      <w:r w:rsidRPr="0067733A">
        <w:rPr>
          <w:rFonts w:eastAsia="Times New Roman"/>
          <w:szCs w:val="24"/>
        </w:rPr>
        <w:t>federal court imposing multiple prison sentences typically has discretion to run the sentences concurrently or consecutively. See 18 U. S. C. §3584. An exception exists in §924(c), which provides that “no term of imprisonment imposed on a person under this subsection shall run concurrently with any other term of imprisonment.” §924(c)(1)(D)(ii). Here, the Court considers whether §924(c)’s bar on concurrent sentences extends to a sentence imposed under a different subsection, §924(j). Lora was convicted of the federal crime of aiding and abetting a violation of §924(j)(1), which penalizes “a person who, in the course of a violation of subsection (c), causes the death of a person through the use of a firearm,” where “the killing is a murder.” A violation of subsection (c) occurs when a person “uses or carries a firearm” “during and in relation to any crime of violence or drug trafficking crime,” or “possesses a firearm” “in furtherance of any such crime.”§924(c)(1)(A). Lora was also convicted of a second federal crime, conspiring to distribute drugs.</w:t>
      </w:r>
      <w:r>
        <w:rPr>
          <w:rFonts w:eastAsia="Times New Roman"/>
          <w:szCs w:val="24"/>
        </w:rPr>
        <w:t xml:space="preserve"> </w:t>
      </w:r>
      <w:r w:rsidRPr="0067733A">
        <w:rPr>
          <w:rFonts w:eastAsia="Times New Roman"/>
          <w:szCs w:val="24"/>
        </w:rPr>
        <w:t xml:space="preserve">At sentencing, the District Court concluded that it lacked discretion to run the sentences for Lora’s two convictions concurrently, because §924(c)(1)(D)(ii)’s bar on concurrent sentences governs §924(j) sentences. The District Court sentenced Lora to consecutive terms of imprisonment for the drug-distribution-conspiracy count and the §924(j) count. The Court of Appeals affirmed.  </w:t>
      </w:r>
      <w:r w:rsidRPr="0067733A">
        <w:rPr>
          <w:rFonts w:eastAsia="Times New Roman"/>
          <w:b/>
          <w:bCs/>
          <w:szCs w:val="24"/>
        </w:rPr>
        <w:t>Held:</w:t>
      </w:r>
      <w:r w:rsidRPr="0067733A">
        <w:rPr>
          <w:rFonts w:eastAsia="Times New Roman"/>
          <w:szCs w:val="24"/>
        </w:rPr>
        <w:t xml:space="preserve"> Section 924(c)(1)(D)(ii)’s bar on concurrent sentences does not govern a sentence for a §924(j) conviction. A §924(j) sentence therefore can run either concurrently with or consecutively to another sentence.</w:t>
      </w:r>
      <w:r>
        <w:rPr>
          <w:rFonts w:eastAsia="Times New Roman"/>
          <w:szCs w:val="24"/>
        </w:rPr>
        <w:t xml:space="preserve">  </w:t>
      </w:r>
      <w:r w:rsidRPr="0067733A">
        <w:rPr>
          <w:rFonts w:eastAsia="Times New Roman"/>
          <w:szCs w:val="24"/>
        </w:rPr>
        <w:t>Subsection (c)’s consecutive-sentence mandate applies only to the</w:t>
      </w:r>
      <w:r>
        <w:rPr>
          <w:rFonts w:eastAsia="Times New Roman"/>
          <w:szCs w:val="24"/>
        </w:rPr>
        <w:t xml:space="preserve"> </w:t>
      </w:r>
      <w:r w:rsidRPr="0067733A">
        <w:rPr>
          <w:rFonts w:eastAsia="Times New Roman"/>
          <w:szCs w:val="24"/>
        </w:rPr>
        <w:t>terms of imprisonment prescribed within subsection (c).</w:t>
      </w:r>
      <w:r w:rsidR="00C8730D" w:rsidRPr="0067733A">
        <w:rPr>
          <w:rFonts w:eastAsia="Times New Roman"/>
          <w:szCs w:val="24"/>
        </w:rPr>
        <w:br/>
      </w:r>
    </w:p>
    <w:p w14:paraId="62D30575" w14:textId="77777777" w:rsidR="00E60E92" w:rsidRDefault="00C8730D" w:rsidP="001B26E9">
      <w:pPr>
        <w:numPr>
          <w:ilvl w:val="0"/>
          <w:numId w:val="2"/>
        </w:numPr>
        <w:spacing w:before="100" w:beforeAutospacing="1" w:after="100" w:afterAutospacing="1" w:line="240" w:lineRule="auto"/>
        <w:rPr>
          <w:rFonts w:eastAsia="Times New Roman"/>
          <w:szCs w:val="24"/>
        </w:rPr>
      </w:pPr>
      <w:proofErr w:type="spellStart"/>
      <w:r w:rsidRPr="00C8730D">
        <w:rPr>
          <w:rFonts w:eastAsia="Times New Roman"/>
          <w:i/>
          <w:iCs/>
          <w:szCs w:val="24"/>
        </w:rPr>
        <w:lastRenderedPageBreak/>
        <w:t>Percoco</w:t>
      </w:r>
      <w:proofErr w:type="spellEnd"/>
      <w:r w:rsidRPr="00C8730D">
        <w:rPr>
          <w:rFonts w:eastAsia="Times New Roman"/>
          <w:i/>
          <w:iCs/>
          <w:szCs w:val="24"/>
        </w:rPr>
        <w:t xml:space="preserve"> v. United States et al.</w:t>
      </w:r>
      <w:r w:rsidRPr="00C8730D">
        <w:rPr>
          <w:rFonts w:eastAsia="Times New Roman"/>
          <w:szCs w:val="24"/>
        </w:rPr>
        <w:t xml:space="preserve">, No. 21-1158, decided May 11, 2023 </w:t>
      </w:r>
      <w:r w:rsidRPr="00C8730D">
        <w:rPr>
          <w:rFonts w:eastAsia="Times New Roman"/>
          <w:b/>
          <w:bCs/>
          <w:szCs w:val="24"/>
        </w:rPr>
        <w:t>[Honest-Services Wire Fraud]</w:t>
      </w:r>
      <w:r w:rsidRPr="00C8730D">
        <w:rPr>
          <w:rFonts w:eastAsia="Times New Roman"/>
          <w:szCs w:val="24"/>
        </w:rPr>
        <w:br/>
        <w:t>Alito majority, Gorsuch concurring</w:t>
      </w:r>
      <w:r w:rsidRPr="00C8730D">
        <w:rPr>
          <w:rFonts w:eastAsia="Times New Roman"/>
          <w:szCs w:val="24"/>
        </w:rPr>
        <w:br/>
        <w:t xml:space="preserve">Petitioner Joseph </w:t>
      </w:r>
      <w:proofErr w:type="spellStart"/>
      <w:r w:rsidRPr="00C8730D">
        <w:rPr>
          <w:rFonts w:eastAsia="Times New Roman"/>
          <w:szCs w:val="24"/>
        </w:rPr>
        <w:t>Percoco</w:t>
      </w:r>
      <w:proofErr w:type="spellEnd"/>
      <w:r w:rsidRPr="00C8730D">
        <w:rPr>
          <w:rFonts w:eastAsia="Times New Roman"/>
          <w:szCs w:val="24"/>
        </w:rPr>
        <w:t xml:space="preserve"> served as the Executive Deputy Secretary to New York Governor Andrew Cuomo from 2011 to 2016, a position that gave him a wide range of influence over state decision-making, with one brief hiatus. During an eight-month period in 2014, </w:t>
      </w:r>
      <w:proofErr w:type="spellStart"/>
      <w:r w:rsidRPr="00C8730D">
        <w:rPr>
          <w:rFonts w:eastAsia="Times New Roman"/>
          <w:szCs w:val="24"/>
        </w:rPr>
        <w:t>Percoco</w:t>
      </w:r>
      <w:proofErr w:type="spellEnd"/>
      <w:r w:rsidRPr="00C8730D">
        <w:rPr>
          <w:rFonts w:eastAsia="Times New Roman"/>
          <w:szCs w:val="24"/>
        </w:rPr>
        <w:t xml:space="preserve"> resigned from government service to manage the Governor’s reelection campaign. During this hiatus, </w:t>
      </w:r>
      <w:proofErr w:type="spellStart"/>
      <w:r w:rsidRPr="00C8730D">
        <w:rPr>
          <w:rFonts w:eastAsia="Times New Roman"/>
          <w:szCs w:val="24"/>
        </w:rPr>
        <w:t>Percoco</w:t>
      </w:r>
      <w:proofErr w:type="spellEnd"/>
      <w:r w:rsidRPr="00C8730D">
        <w:rPr>
          <w:rFonts w:eastAsia="Times New Roman"/>
          <w:szCs w:val="24"/>
        </w:rPr>
        <w:t xml:space="preserve"> accepted payments totaling $35,000 to assist a real-estate development company owned by Steven Aiello in its dealings with Empire State Development, a state agency.  After </w:t>
      </w:r>
      <w:proofErr w:type="spellStart"/>
      <w:r w:rsidRPr="00C8730D">
        <w:rPr>
          <w:rFonts w:eastAsia="Times New Roman"/>
          <w:szCs w:val="24"/>
        </w:rPr>
        <w:t>Percoco</w:t>
      </w:r>
      <w:proofErr w:type="spellEnd"/>
      <w:r w:rsidRPr="00C8730D">
        <w:rPr>
          <w:rFonts w:eastAsia="Times New Roman"/>
          <w:szCs w:val="24"/>
        </w:rPr>
        <w:t xml:space="preserve"> urged a senior official at ESD to drop a requirement that Aiello’s company enter into a “Labor Peace Agreement” with local unions as a precondition to receiving state funding for a lucrative project, ESD informed Aiello the following day that the agreement was not necessary. When </w:t>
      </w:r>
      <w:proofErr w:type="spellStart"/>
      <w:r w:rsidRPr="00C8730D">
        <w:rPr>
          <w:rFonts w:eastAsia="Times New Roman"/>
          <w:szCs w:val="24"/>
        </w:rPr>
        <w:t>Percoco’s</w:t>
      </w:r>
      <w:proofErr w:type="spellEnd"/>
      <w:r w:rsidRPr="00C8730D">
        <w:rPr>
          <w:rFonts w:eastAsia="Times New Roman"/>
          <w:szCs w:val="24"/>
        </w:rPr>
        <w:t xml:space="preserve"> dealings came to the attention of the U. S. Department of Justice, he was indicted and charged with, among other things, conspiracy to commit honest-services wire fraud in relation to the labor-peace requirement (count 10). See 18 U. S. C. §§1343, 1346, 1349. Throughout the proceedings, </w:t>
      </w:r>
      <w:proofErr w:type="spellStart"/>
      <w:r w:rsidRPr="00C8730D">
        <w:rPr>
          <w:rFonts w:eastAsia="Times New Roman"/>
          <w:szCs w:val="24"/>
        </w:rPr>
        <w:t>Percoco</w:t>
      </w:r>
      <w:proofErr w:type="spellEnd"/>
      <w:r w:rsidRPr="00C8730D">
        <w:rPr>
          <w:rFonts w:eastAsia="Times New Roman"/>
          <w:szCs w:val="24"/>
        </w:rPr>
        <w:t xml:space="preserve"> argued unsuccessfully </w:t>
      </w:r>
      <w:proofErr w:type="spellStart"/>
      <w:proofErr w:type="gramStart"/>
      <w:r w:rsidRPr="00C8730D">
        <w:rPr>
          <w:rFonts w:eastAsia="Times New Roman"/>
          <w:szCs w:val="24"/>
        </w:rPr>
        <w:t>thata</w:t>
      </w:r>
      <w:proofErr w:type="spellEnd"/>
      <w:proofErr w:type="gramEnd"/>
      <w:r w:rsidRPr="00C8730D">
        <w:rPr>
          <w:rFonts w:eastAsia="Times New Roman"/>
          <w:szCs w:val="24"/>
        </w:rPr>
        <w:t xml:space="preserve"> private citizen cannot commit or conspire to commit honest-services wire fraud based on his own duty of honest services to the public. Over </w:t>
      </w:r>
      <w:proofErr w:type="spellStart"/>
      <w:r w:rsidRPr="00C8730D">
        <w:rPr>
          <w:rFonts w:eastAsia="Times New Roman"/>
          <w:szCs w:val="24"/>
        </w:rPr>
        <w:t>Percoco’s</w:t>
      </w:r>
      <w:proofErr w:type="spellEnd"/>
      <w:r w:rsidRPr="00C8730D">
        <w:rPr>
          <w:rFonts w:eastAsia="Times New Roman"/>
          <w:szCs w:val="24"/>
        </w:rPr>
        <w:t xml:space="preserve"> objection, the trial court instructed the jury that </w:t>
      </w:r>
      <w:proofErr w:type="spellStart"/>
      <w:r w:rsidRPr="00C8730D">
        <w:rPr>
          <w:rFonts w:eastAsia="Times New Roman"/>
          <w:szCs w:val="24"/>
        </w:rPr>
        <w:t>Percoco</w:t>
      </w:r>
      <w:proofErr w:type="spellEnd"/>
      <w:r w:rsidRPr="00C8730D">
        <w:rPr>
          <w:rFonts w:eastAsia="Times New Roman"/>
          <w:szCs w:val="24"/>
        </w:rPr>
        <w:t xml:space="preserve"> could be found to have had a duty to provide honest services to the public during the time when he was not serving as a public official if the jury concluded, first, that “he dominated and controlled any governmental business” and, second, that “people working in the government actually relied on him because of a special relationship he had with the government.” As relevant here, the jury convicted </w:t>
      </w:r>
      <w:proofErr w:type="spellStart"/>
      <w:r w:rsidRPr="00C8730D">
        <w:rPr>
          <w:rFonts w:eastAsia="Times New Roman"/>
          <w:szCs w:val="24"/>
        </w:rPr>
        <w:t>Percoco</w:t>
      </w:r>
      <w:proofErr w:type="spellEnd"/>
      <w:r w:rsidRPr="00C8730D">
        <w:rPr>
          <w:rFonts w:eastAsia="Times New Roman"/>
          <w:szCs w:val="24"/>
        </w:rPr>
        <w:t xml:space="preserve"> on count 10. On appeal, the Second Circuit affirmed, explaining that the challenged jury instruction fit the Second Circuit’s understanding of honest-services fraud as adopted many years earlier in </w:t>
      </w:r>
      <w:r w:rsidRPr="00C8730D">
        <w:rPr>
          <w:rFonts w:eastAsia="Times New Roman"/>
          <w:i/>
          <w:iCs/>
          <w:szCs w:val="24"/>
        </w:rPr>
        <w:t xml:space="preserve">United States v. </w:t>
      </w:r>
      <w:proofErr w:type="spellStart"/>
      <w:r w:rsidRPr="00C8730D">
        <w:rPr>
          <w:rFonts w:eastAsia="Times New Roman"/>
          <w:i/>
          <w:iCs/>
          <w:szCs w:val="24"/>
        </w:rPr>
        <w:t>Margiotta</w:t>
      </w:r>
      <w:proofErr w:type="spellEnd"/>
      <w:r w:rsidRPr="00C8730D">
        <w:rPr>
          <w:rFonts w:eastAsia="Times New Roman"/>
          <w:szCs w:val="24"/>
        </w:rPr>
        <w:t xml:space="preserve">, 688 F. 2d 108.  </w:t>
      </w:r>
      <w:r w:rsidRPr="00C8730D">
        <w:rPr>
          <w:rFonts w:eastAsia="Times New Roman"/>
          <w:b/>
          <w:bCs/>
          <w:szCs w:val="24"/>
        </w:rPr>
        <w:t>Held:</w:t>
      </w:r>
      <w:r w:rsidRPr="00C8730D">
        <w:rPr>
          <w:rFonts w:eastAsia="Times New Roman"/>
          <w:szCs w:val="24"/>
        </w:rPr>
        <w:t xml:space="preserve"> Instructing the jury based on the Second Circuit’s 1982 decision in </w:t>
      </w:r>
      <w:proofErr w:type="spellStart"/>
      <w:r w:rsidRPr="00C8730D">
        <w:rPr>
          <w:rFonts w:eastAsia="Times New Roman"/>
          <w:i/>
          <w:iCs/>
          <w:szCs w:val="24"/>
        </w:rPr>
        <w:t>Margiotta</w:t>
      </w:r>
      <w:proofErr w:type="spellEnd"/>
      <w:r w:rsidRPr="00C8730D">
        <w:rPr>
          <w:rFonts w:eastAsia="Times New Roman"/>
          <w:szCs w:val="24"/>
        </w:rPr>
        <w:t xml:space="preserve"> on the legal standard for finding that a private citizen owes the government a duty of honest services was error.</w:t>
      </w:r>
      <w:r w:rsidR="00E60E92">
        <w:rPr>
          <w:rFonts w:eastAsia="Times New Roman"/>
          <w:szCs w:val="24"/>
        </w:rPr>
        <w:br/>
      </w:r>
    </w:p>
    <w:p w14:paraId="45FCC0BB" w14:textId="4168EFD7" w:rsidR="00E71F4D" w:rsidRPr="00E60E92" w:rsidRDefault="00E60E92" w:rsidP="005C09B4">
      <w:pPr>
        <w:numPr>
          <w:ilvl w:val="0"/>
          <w:numId w:val="2"/>
        </w:numPr>
        <w:spacing w:before="100" w:beforeAutospacing="1" w:after="100" w:afterAutospacing="1" w:line="240" w:lineRule="auto"/>
        <w:rPr>
          <w:rFonts w:eastAsia="Times New Roman"/>
          <w:szCs w:val="24"/>
        </w:rPr>
      </w:pPr>
      <w:r w:rsidRPr="00E60E92">
        <w:rPr>
          <w:rFonts w:eastAsia="Times New Roman"/>
          <w:i/>
          <w:iCs/>
          <w:szCs w:val="24"/>
        </w:rPr>
        <w:t>Pugin v. Garland, Attorney General</w:t>
      </w:r>
      <w:r w:rsidRPr="00E60E92">
        <w:rPr>
          <w:rFonts w:eastAsia="Times New Roman"/>
          <w:szCs w:val="24"/>
        </w:rPr>
        <w:t xml:space="preserve">, No. 22-23, decided June 23, 2023 </w:t>
      </w:r>
      <w:r w:rsidRPr="00E60E92">
        <w:rPr>
          <w:rFonts w:eastAsia="Times New Roman"/>
          <w:b/>
          <w:bCs/>
          <w:szCs w:val="24"/>
        </w:rPr>
        <w:t>[Obstruction of Justice]</w:t>
      </w:r>
      <w:r w:rsidRPr="00E60E92">
        <w:rPr>
          <w:rFonts w:eastAsia="Times New Roman"/>
          <w:b/>
          <w:bCs/>
          <w:szCs w:val="24"/>
        </w:rPr>
        <w:br/>
      </w:r>
      <w:r w:rsidRPr="00E60E92">
        <w:rPr>
          <w:rFonts w:eastAsia="Times New Roman"/>
          <w:szCs w:val="24"/>
        </w:rPr>
        <w:t>Kavanaugh majority, Jackson concurring, Sotomayor dissenting</w:t>
      </w:r>
      <w:r w:rsidRPr="00E60E92">
        <w:rPr>
          <w:rFonts w:eastAsia="Times New Roman"/>
          <w:szCs w:val="24"/>
        </w:rPr>
        <w:br/>
        <w:t xml:space="preserve">In two immigration proceedings, noncitizens Cordero-Garcia and Pugin were determined removable from the United States on the ground that they had convictions for aggravated felonies—namely, offenses “relating to obstruction of justice.” See 8 U. S. C. §§1101(a)(43)(S), 1227(a)(2)(A)(iii). On appeal, the Ninth Circuit concluded that Cordero-Garcia’s state conviction for dissuading a witness from reporting a crime did not constitute an offense “relating to obstruction of justice” because the state offense did not require that an investigation or proceeding be pending. By contrast, the Fourth Circuit concluded that Pugin’s state conviction for accessory after the fact constituted an offense “relating to obstruction of justice” even if the state offense did not require that an investigation or proceeding be pending.  </w:t>
      </w:r>
      <w:r w:rsidRPr="00E60E92">
        <w:rPr>
          <w:rFonts w:eastAsia="Times New Roman"/>
          <w:b/>
          <w:bCs/>
          <w:szCs w:val="24"/>
        </w:rPr>
        <w:t>Held:</w:t>
      </w:r>
      <w:r w:rsidRPr="00E60E92">
        <w:rPr>
          <w:rFonts w:eastAsia="Times New Roman"/>
          <w:szCs w:val="24"/>
        </w:rPr>
        <w:t xml:space="preserve"> An offense may “</w:t>
      </w:r>
      <w:proofErr w:type="spellStart"/>
      <w:r w:rsidRPr="00E60E92">
        <w:rPr>
          <w:rFonts w:eastAsia="Times New Roman"/>
          <w:szCs w:val="24"/>
        </w:rPr>
        <w:t>relat</w:t>
      </w:r>
      <w:proofErr w:type="spellEnd"/>
      <w:r w:rsidRPr="00E60E92">
        <w:rPr>
          <w:rFonts w:eastAsia="Times New Roman"/>
          <w:szCs w:val="24"/>
        </w:rPr>
        <w:t>[e] to obstruction of justice” under §1101(a)(43)(S) even if the offense does not require that an investigation or proceeding be pending.  Federal law provides that noncitizens convicted of a federal or state crime constituting an “aggravated felony” are removable from the United States.</w:t>
      </w:r>
      <w:r w:rsidR="00C8730D" w:rsidRPr="00E60E92">
        <w:rPr>
          <w:rFonts w:eastAsia="Times New Roman"/>
          <w:szCs w:val="24"/>
        </w:rPr>
        <w:br/>
      </w:r>
    </w:p>
    <w:p w14:paraId="27D291B1" w14:textId="77777777" w:rsidR="00783651" w:rsidRDefault="00DB6A13" w:rsidP="00EE017A">
      <w:pPr>
        <w:numPr>
          <w:ilvl w:val="0"/>
          <w:numId w:val="2"/>
        </w:numPr>
        <w:spacing w:before="100" w:beforeAutospacing="1" w:after="100" w:afterAutospacing="1" w:line="240" w:lineRule="auto"/>
        <w:rPr>
          <w:rFonts w:eastAsia="Times New Roman"/>
          <w:szCs w:val="24"/>
        </w:rPr>
      </w:pPr>
      <w:r w:rsidRPr="00DB6A13">
        <w:rPr>
          <w:rFonts w:eastAsia="Times New Roman"/>
          <w:i/>
          <w:iCs/>
          <w:szCs w:val="24"/>
        </w:rPr>
        <w:lastRenderedPageBreak/>
        <w:t>Reed v. Goertz</w:t>
      </w:r>
      <w:r w:rsidRPr="00DB6A13">
        <w:rPr>
          <w:rFonts w:eastAsia="Times New Roman"/>
          <w:szCs w:val="24"/>
        </w:rPr>
        <w:t xml:space="preserve">, No. 21-422, decided April 19, 2023 </w:t>
      </w:r>
      <w:r w:rsidRPr="00DB6A13">
        <w:rPr>
          <w:rFonts w:eastAsia="Times New Roman"/>
          <w:b/>
          <w:bCs/>
          <w:szCs w:val="24"/>
        </w:rPr>
        <w:t>[Procedural Due Process Statute of Limitations]</w:t>
      </w:r>
      <w:r w:rsidRPr="00DB6A13">
        <w:rPr>
          <w:rFonts w:eastAsia="Times New Roman"/>
          <w:szCs w:val="24"/>
        </w:rPr>
        <w:br/>
        <w:t>Kavanaugh majority, Thomas dissenting, Alito dissenting</w:t>
      </w:r>
      <w:r w:rsidRPr="00DB6A13">
        <w:rPr>
          <w:rFonts w:eastAsia="Times New Roman"/>
          <w:szCs w:val="24"/>
        </w:rPr>
        <w:br/>
        <w:t xml:space="preserve">A Texas jury found petitioner Reed guilty of the 1996 murder of Stacey </w:t>
      </w:r>
      <w:proofErr w:type="spellStart"/>
      <w:r w:rsidRPr="00DB6A13">
        <w:rPr>
          <w:rFonts w:eastAsia="Times New Roman"/>
          <w:szCs w:val="24"/>
        </w:rPr>
        <w:t>Stites</w:t>
      </w:r>
      <w:proofErr w:type="spellEnd"/>
      <w:r w:rsidRPr="00DB6A13">
        <w:rPr>
          <w:rFonts w:eastAsia="Times New Roman"/>
          <w:szCs w:val="24"/>
        </w:rPr>
        <w:t xml:space="preserve">. The Texas Court of Criminal Appeals affirmed Reed’s conviction and death sentence. In 2014, Reed filed a motion in Texas state court under Texas’s post-conviction DNA testing law. Reed requested DNA testing on certain evidence, including the belt used to strangle </w:t>
      </w:r>
      <w:proofErr w:type="spellStart"/>
      <w:r w:rsidRPr="00DB6A13">
        <w:rPr>
          <w:rFonts w:eastAsia="Times New Roman"/>
          <w:szCs w:val="24"/>
        </w:rPr>
        <w:t>Stites</w:t>
      </w:r>
      <w:proofErr w:type="spellEnd"/>
      <w:r w:rsidRPr="00DB6A13">
        <w:rPr>
          <w:rFonts w:eastAsia="Times New Roman"/>
          <w:szCs w:val="24"/>
        </w:rPr>
        <w:t xml:space="preserve">, which Reed contended would help identify the true perpetrator. The state trial court denied Reed’s motion, reasoning in part that items Reed sought to test were not preserved through an adequate chain of custody. The Texas Court of Criminal Appeals affirmed, and later denied Reed’s motion for rehearing. Reed then sued in federal court under 42 U. S. C. §1983, asserting that Texas’s post-conviction DNA testing law failed to provide procedural due process. Reed argued that the law’s stringent chain-of-custody requirement was unconstitutional. The District Court dismissed Reed’s complaint. The Fifth Circuit affirmed on the ground that Reed’s §1983 claim was filed too late, after the applicable 2-year statute of limitations had run. The Fifth Circuit held that the limitations period began to run when the Texas trial court denied Reed’s motion, not when the Texas Court of Criminal Appeals denied rehearing.  </w:t>
      </w:r>
      <w:r w:rsidRPr="00DB6A13">
        <w:rPr>
          <w:rFonts w:eastAsia="Times New Roman"/>
          <w:b/>
          <w:bCs/>
          <w:szCs w:val="24"/>
        </w:rPr>
        <w:t>Held:</w:t>
      </w:r>
      <w:r w:rsidRPr="00DB6A13">
        <w:rPr>
          <w:rFonts w:eastAsia="Times New Roman"/>
          <w:szCs w:val="24"/>
        </w:rPr>
        <w:t xml:space="preserve"> </w:t>
      </w:r>
      <w:r w:rsidR="00A23B36">
        <w:rPr>
          <w:rFonts w:eastAsia="Times New Roman"/>
          <w:szCs w:val="24"/>
        </w:rPr>
        <w:t xml:space="preserve"> </w:t>
      </w:r>
      <w:r w:rsidRPr="00DB6A13">
        <w:rPr>
          <w:rFonts w:eastAsia="Times New Roman"/>
          <w:szCs w:val="24"/>
        </w:rPr>
        <w:t>When a prisoner pursues state post-conviction DNA testing through the state-provided litigation process, the statute of limitations for a §1983 procedural due process claim begins to run when the state litigation ends, in this case when the Texas Court of Criminal Appeals denied Reed’s motion for rehearing</w:t>
      </w:r>
      <w:r w:rsidR="00A23B36">
        <w:rPr>
          <w:rFonts w:eastAsia="Times New Roman"/>
          <w:szCs w:val="24"/>
        </w:rPr>
        <w:t>.</w:t>
      </w:r>
      <w:r w:rsidR="00783651">
        <w:rPr>
          <w:rFonts w:eastAsia="Times New Roman"/>
          <w:szCs w:val="24"/>
        </w:rPr>
        <w:br/>
      </w:r>
    </w:p>
    <w:p w14:paraId="6332D4DF" w14:textId="2423DB26" w:rsidR="00C8730D" w:rsidRPr="00783651" w:rsidRDefault="00783651" w:rsidP="007E49F2">
      <w:pPr>
        <w:numPr>
          <w:ilvl w:val="0"/>
          <w:numId w:val="2"/>
        </w:numPr>
        <w:spacing w:before="100" w:beforeAutospacing="1" w:after="100" w:afterAutospacing="1" w:line="240" w:lineRule="auto"/>
        <w:rPr>
          <w:rFonts w:eastAsia="Times New Roman"/>
          <w:szCs w:val="24"/>
        </w:rPr>
      </w:pPr>
      <w:r w:rsidRPr="00783651">
        <w:rPr>
          <w:rFonts w:eastAsia="Times New Roman"/>
          <w:i/>
          <w:iCs/>
          <w:szCs w:val="24"/>
        </w:rPr>
        <w:t xml:space="preserve">Samia, aka </w:t>
      </w:r>
      <w:proofErr w:type="spellStart"/>
      <w:r w:rsidRPr="00783651">
        <w:rPr>
          <w:rFonts w:eastAsia="Times New Roman"/>
          <w:i/>
          <w:iCs/>
          <w:szCs w:val="24"/>
        </w:rPr>
        <w:t>Samic</w:t>
      </w:r>
      <w:proofErr w:type="spellEnd"/>
      <w:r w:rsidRPr="00783651">
        <w:rPr>
          <w:rFonts w:eastAsia="Times New Roman"/>
          <w:i/>
          <w:iCs/>
          <w:szCs w:val="24"/>
        </w:rPr>
        <w:t xml:space="preserve"> v. United States</w:t>
      </w:r>
      <w:r w:rsidRPr="00783651">
        <w:rPr>
          <w:rFonts w:eastAsia="Times New Roman"/>
          <w:szCs w:val="24"/>
        </w:rPr>
        <w:t xml:space="preserve">, No. 22-196, decided June 23, 2023 </w:t>
      </w:r>
      <w:r w:rsidRPr="00783651">
        <w:rPr>
          <w:rFonts w:eastAsia="Times New Roman"/>
          <w:b/>
          <w:bCs/>
          <w:szCs w:val="24"/>
        </w:rPr>
        <w:t>[Confrontation Clause]</w:t>
      </w:r>
      <w:r w:rsidRPr="00783651">
        <w:rPr>
          <w:rFonts w:eastAsia="Times New Roman"/>
          <w:b/>
          <w:bCs/>
          <w:szCs w:val="24"/>
        </w:rPr>
        <w:br/>
      </w:r>
      <w:r w:rsidRPr="00783651">
        <w:rPr>
          <w:rFonts w:eastAsia="Times New Roman"/>
          <w:szCs w:val="24"/>
        </w:rPr>
        <w:t>Thomas majority, Barrett concurring, Kagan dissenting, Jackson dissenting</w:t>
      </w:r>
      <w:r w:rsidRPr="00783651">
        <w:rPr>
          <w:rFonts w:eastAsia="Times New Roman"/>
          <w:szCs w:val="24"/>
        </w:rPr>
        <w:br/>
        <w:t xml:space="preserve">Samia, along with Hunter and Stillwell, were arrested by the U. S. Drug Enforcement Administration and charged with a variety of offenses related to the murder-for-hire of Catherine Lee, a real-estate broker. The Government tried all three defendants jointly in the Southern District of New York. Prior to trial, the Government moved to admit Stillwell’s </w:t>
      </w:r>
      <w:proofErr w:type="spellStart"/>
      <w:r w:rsidRPr="00783651">
        <w:rPr>
          <w:rFonts w:eastAsia="Times New Roman"/>
          <w:szCs w:val="24"/>
        </w:rPr>
        <w:t>postarrest</w:t>
      </w:r>
      <w:proofErr w:type="spellEnd"/>
      <w:r w:rsidRPr="00783651">
        <w:rPr>
          <w:rFonts w:eastAsia="Times New Roman"/>
          <w:szCs w:val="24"/>
        </w:rPr>
        <w:t xml:space="preserve"> confession in which he admitted that he had been in the van in which Lee was killed, but he claimed that Samia had shot Lee. Since Stillwell would not be testifying on his own behalf and the full confession implicated Samia, the Government proposed that the confession be introduced through the testimony of a DEA agent, who would testify to the content of Stillwell’s confession in a way that eliminated Samia’s name while avoiding any obvious indications of redaction. The District Court granted the Government’s motion with additional alterations to conform to its understanding of this Court’s Confrontation Clause precedents.</w:t>
      </w:r>
      <w:r w:rsidRPr="00783651">
        <w:rPr>
          <w:rFonts w:eastAsia="Times New Roman"/>
          <w:szCs w:val="24"/>
        </w:rPr>
        <w:br/>
        <w:t xml:space="preserve">At trial, the Government’s theory of the case was that Hunter had hired Samia and Stillwell to pose as real-estate buyers and visit properties with Lee and that Samia, Stillwell, and Lee were in a van driven by Stillwell when Samia shot Lee. As part of the Government’s case in chief, a DEA agent testified that Stillwell had confessed to “a time when the other person he was with pulled the trigger on that woman in a van that he and Mr. Stillwell was driving.” (Emphasis added.) Other portions of the agent’s testimony recounting Stillwell’s confession used the “other person” descriptor to refer to someone with whom Stillwell had traveled and lived and who carried a particular firearm. Both before the agent’s testimony and again prior to deliberations, the District Court instructed the jury that the agent’s testimony about </w:t>
      </w:r>
      <w:r w:rsidRPr="00783651">
        <w:rPr>
          <w:rFonts w:eastAsia="Times New Roman"/>
          <w:szCs w:val="24"/>
        </w:rPr>
        <w:lastRenderedPageBreak/>
        <w:t xml:space="preserve">Stillwell’s confession was admissible only as to Stillwell and should not be considered as to Samia or Hunter. Samia and his </w:t>
      </w:r>
      <w:proofErr w:type="gramStart"/>
      <w:r w:rsidRPr="00783651">
        <w:rPr>
          <w:rFonts w:eastAsia="Times New Roman"/>
          <w:szCs w:val="24"/>
        </w:rPr>
        <w:t>codefendants</w:t>
      </w:r>
      <w:proofErr w:type="gramEnd"/>
      <w:r w:rsidRPr="00783651">
        <w:rPr>
          <w:rFonts w:eastAsia="Times New Roman"/>
          <w:szCs w:val="24"/>
        </w:rPr>
        <w:t xml:space="preserve"> were convicted on all counts. On appeal, Samia argued that the admission of Stillwell’s confession was </w:t>
      </w:r>
      <w:proofErr w:type="gramStart"/>
      <w:r w:rsidRPr="00783651">
        <w:rPr>
          <w:rFonts w:eastAsia="Times New Roman"/>
          <w:szCs w:val="24"/>
        </w:rPr>
        <w:t>constitutional</w:t>
      </w:r>
      <w:proofErr w:type="gramEnd"/>
      <w:r w:rsidRPr="00783651">
        <w:rPr>
          <w:rFonts w:eastAsia="Times New Roman"/>
          <w:szCs w:val="24"/>
        </w:rPr>
        <w:t xml:space="preserve"> error because other evidence and statements at trial enabled the jury to immediately infer that the “other person” described in the confession was Samia himself. The Second Circuit, pointing to the established practice of replacing a defendant’s name with a neutral noun or pronoun in a </w:t>
      </w:r>
      <w:proofErr w:type="spellStart"/>
      <w:r w:rsidRPr="00783651">
        <w:rPr>
          <w:rFonts w:eastAsia="Times New Roman"/>
          <w:szCs w:val="24"/>
        </w:rPr>
        <w:t>nontestifying</w:t>
      </w:r>
      <w:proofErr w:type="spellEnd"/>
      <w:r w:rsidRPr="00783651">
        <w:rPr>
          <w:rFonts w:eastAsia="Times New Roman"/>
          <w:szCs w:val="24"/>
        </w:rPr>
        <w:t xml:space="preserve"> codefendant’s confession, held that the admission of Stillwell’s confession did not violate Samia’s Confrontation Clause rights.  </w:t>
      </w:r>
      <w:r w:rsidRPr="00783651">
        <w:rPr>
          <w:rFonts w:eastAsia="Times New Roman"/>
          <w:b/>
          <w:bCs/>
          <w:szCs w:val="24"/>
        </w:rPr>
        <w:t>Held:</w:t>
      </w:r>
      <w:r w:rsidRPr="00783651">
        <w:rPr>
          <w:rFonts w:eastAsia="Times New Roman"/>
          <w:szCs w:val="24"/>
        </w:rPr>
        <w:t xml:space="preserve"> The Confrontation Clause was not violated by the admission of a </w:t>
      </w:r>
      <w:proofErr w:type="spellStart"/>
      <w:r w:rsidRPr="00783651">
        <w:rPr>
          <w:rFonts w:eastAsia="Times New Roman"/>
          <w:szCs w:val="24"/>
        </w:rPr>
        <w:t>nontestifying</w:t>
      </w:r>
      <w:proofErr w:type="spellEnd"/>
      <w:r w:rsidRPr="00783651">
        <w:rPr>
          <w:rFonts w:eastAsia="Times New Roman"/>
          <w:szCs w:val="24"/>
        </w:rPr>
        <w:t xml:space="preserve"> codefendant’s confession that did not directly inculpate the defendant and was subject to a proper limiting instruction.</w:t>
      </w:r>
      <w:r w:rsidR="00C8730D" w:rsidRPr="00783651">
        <w:rPr>
          <w:rFonts w:eastAsia="Times New Roman"/>
          <w:szCs w:val="24"/>
        </w:rPr>
        <w:br/>
      </w:r>
    </w:p>
    <w:p w14:paraId="5BAFFC78" w14:textId="77777777" w:rsidR="006C7E2C" w:rsidRDefault="00C8730D" w:rsidP="00FB52BD">
      <w:pPr>
        <w:numPr>
          <w:ilvl w:val="0"/>
          <w:numId w:val="2"/>
        </w:numPr>
        <w:spacing w:before="100" w:beforeAutospacing="1" w:after="100" w:afterAutospacing="1" w:line="240" w:lineRule="auto"/>
        <w:rPr>
          <w:rFonts w:eastAsia="Times New Roman"/>
          <w:szCs w:val="24"/>
        </w:rPr>
      </w:pPr>
      <w:r w:rsidRPr="00C8730D">
        <w:rPr>
          <w:rFonts w:eastAsia="Times New Roman"/>
          <w:i/>
          <w:iCs/>
          <w:szCs w:val="24"/>
        </w:rPr>
        <w:t>Santos-Zacaria aka Santos-Sacarias v. Garland</w:t>
      </w:r>
      <w:r w:rsidRPr="00C8730D">
        <w:rPr>
          <w:rFonts w:eastAsia="Times New Roman"/>
          <w:szCs w:val="24"/>
        </w:rPr>
        <w:t xml:space="preserve">, No. 21-1436, decided May 11, 2023 </w:t>
      </w:r>
      <w:r w:rsidRPr="00C8730D">
        <w:rPr>
          <w:rFonts w:eastAsia="Times New Roman"/>
          <w:b/>
          <w:bCs/>
          <w:szCs w:val="24"/>
        </w:rPr>
        <w:t>[Non-Citizen Removal Proceedings]</w:t>
      </w:r>
      <w:r w:rsidRPr="00C8730D">
        <w:rPr>
          <w:rFonts w:eastAsia="Times New Roman"/>
          <w:szCs w:val="24"/>
        </w:rPr>
        <w:br/>
        <w:t>Jackson majority, Alito concurring</w:t>
      </w:r>
      <w:r w:rsidRPr="00C8730D">
        <w:rPr>
          <w:rFonts w:eastAsia="Times New Roman"/>
          <w:szCs w:val="24"/>
        </w:rPr>
        <w:br/>
        <w:t>Petitioner Leon Santos-Zacaria (who goes by the name Estrella) is a noncitizen in removal proceedings. She sought protection from removal, which an Immigration Judge denied. Santos-Zacaria appealed</w:t>
      </w:r>
      <w:r>
        <w:rPr>
          <w:rFonts w:eastAsia="Times New Roman"/>
          <w:szCs w:val="24"/>
        </w:rPr>
        <w:t xml:space="preserve"> </w:t>
      </w:r>
      <w:r w:rsidRPr="00C8730D">
        <w:rPr>
          <w:rFonts w:eastAsia="Times New Roman"/>
          <w:szCs w:val="24"/>
        </w:rPr>
        <w:t>to the Board of Immigration Appeals, which upheld the Immigration</w:t>
      </w:r>
      <w:r>
        <w:rPr>
          <w:rFonts w:eastAsia="Times New Roman"/>
          <w:szCs w:val="24"/>
        </w:rPr>
        <w:t xml:space="preserve"> </w:t>
      </w:r>
      <w:r w:rsidRPr="00C8730D">
        <w:rPr>
          <w:rFonts w:eastAsia="Times New Roman"/>
          <w:szCs w:val="24"/>
        </w:rPr>
        <w:t>Judge’s decision. She then filed a petition for review in the Fifth Circuit under 8 U. S. C. §1252, alleging that the Board had impermissibly</w:t>
      </w:r>
      <w:r>
        <w:rPr>
          <w:rFonts w:eastAsia="Times New Roman"/>
          <w:szCs w:val="24"/>
        </w:rPr>
        <w:t xml:space="preserve"> </w:t>
      </w:r>
      <w:r w:rsidRPr="00C8730D">
        <w:rPr>
          <w:rFonts w:eastAsia="Times New Roman"/>
          <w:szCs w:val="24"/>
        </w:rPr>
        <w:t xml:space="preserve">engaged in factfinding that only the Immigration Judge could perform. The Fifth Circuit dismissed Santos-Zacaria’s petition in part, </w:t>
      </w:r>
      <w:proofErr w:type="spellStart"/>
      <w:r w:rsidRPr="00C8730D">
        <w:rPr>
          <w:rFonts w:eastAsia="Times New Roman"/>
          <w:szCs w:val="24"/>
        </w:rPr>
        <w:t>findingthat</w:t>
      </w:r>
      <w:proofErr w:type="spellEnd"/>
      <w:r w:rsidRPr="00C8730D">
        <w:rPr>
          <w:rFonts w:eastAsia="Times New Roman"/>
          <w:szCs w:val="24"/>
        </w:rPr>
        <w:t xml:space="preserve"> she had not satisfied §1252(d)(1)’s exhaustion requirement. Section 1252(d)(1) provides that “[a] court may review a final order of removal only if . . . the alien has exhausted all administrative remedies available to the alien as of right.” The Fifth Circuit raised the exhaustion issue </w:t>
      </w:r>
      <w:proofErr w:type="spellStart"/>
      <w:r w:rsidRPr="00C8730D">
        <w:rPr>
          <w:rFonts w:eastAsia="Times New Roman"/>
          <w:i/>
          <w:iCs/>
          <w:szCs w:val="24"/>
        </w:rPr>
        <w:t>sua</w:t>
      </w:r>
      <w:proofErr w:type="spellEnd"/>
      <w:r w:rsidRPr="00C8730D">
        <w:rPr>
          <w:rFonts w:eastAsia="Times New Roman"/>
          <w:i/>
          <w:iCs/>
          <w:szCs w:val="24"/>
        </w:rPr>
        <w:t xml:space="preserve"> sponte</w:t>
      </w:r>
      <w:r w:rsidRPr="00C8730D">
        <w:rPr>
          <w:rFonts w:eastAsia="Times New Roman"/>
          <w:szCs w:val="24"/>
        </w:rPr>
        <w:t xml:space="preserve"> based on its characterization of §1252(d)(1)’s exhaustion requirement as jurisdictional. And the Fifth Circuit concluded that Santos-Zacaria failed to exhaust because she failed to raise her impermissible-factfinding claim to the Board in a motion for reconsideration before filing her petition for judicial review.  </w:t>
      </w:r>
      <w:r w:rsidRPr="00C8730D">
        <w:rPr>
          <w:rFonts w:eastAsia="Times New Roman"/>
          <w:b/>
          <w:bCs/>
          <w:szCs w:val="24"/>
        </w:rPr>
        <w:t xml:space="preserve">Held:  </w:t>
      </w:r>
      <w:r w:rsidRPr="00C8730D">
        <w:rPr>
          <w:rFonts w:eastAsia="Times New Roman"/>
          <w:szCs w:val="24"/>
        </w:rPr>
        <w:t>Section 1252(d)(1)’s exhaustion requirement is not jurisdictional.</w:t>
      </w:r>
      <w:r w:rsidR="006C7E2C">
        <w:rPr>
          <w:rFonts w:eastAsia="Times New Roman"/>
          <w:szCs w:val="24"/>
        </w:rPr>
        <w:br/>
      </w:r>
    </w:p>
    <w:p w14:paraId="50D1B8F3" w14:textId="3A83139B" w:rsidR="00DB6A13" w:rsidRPr="006C7E2C" w:rsidRDefault="006C7E2C" w:rsidP="00993DCF">
      <w:pPr>
        <w:numPr>
          <w:ilvl w:val="0"/>
          <w:numId w:val="2"/>
        </w:numPr>
        <w:spacing w:before="100" w:beforeAutospacing="1" w:after="100" w:afterAutospacing="1" w:line="240" w:lineRule="auto"/>
        <w:rPr>
          <w:rFonts w:eastAsia="Times New Roman"/>
          <w:szCs w:val="24"/>
        </w:rPr>
      </w:pPr>
      <w:r w:rsidRPr="006C7E2C">
        <w:rPr>
          <w:rFonts w:eastAsia="Times New Roman"/>
          <w:i/>
          <w:iCs/>
          <w:szCs w:val="24"/>
        </w:rPr>
        <w:t>Smith v. United States</w:t>
      </w:r>
      <w:r w:rsidRPr="006C7E2C">
        <w:rPr>
          <w:rFonts w:eastAsia="Times New Roman"/>
          <w:szCs w:val="24"/>
        </w:rPr>
        <w:t>, No. 21</w:t>
      </w:r>
      <w:r w:rsidR="005B0EE8">
        <w:rPr>
          <w:rFonts w:eastAsia="Times New Roman"/>
          <w:szCs w:val="24"/>
        </w:rPr>
        <w:t>-</w:t>
      </w:r>
      <w:r w:rsidRPr="006C7E2C">
        <w:rPr>
          <w:rFonts w:eastAsia="Times New Roman"/>
          <w:szCs w:val="24"/>
        </w:rPr>
        <w:t xml:space="preserve">1576. decided June 15, 2023 </w:t>
      </w:r>
      <w:r w:rsidRPr="006C7E2C">
        <w:rPr>
          <w:rFonts w:eastAsia="Times New Roman"/>
          <w:b/>
          <w:bCs/>
          <w:szCs w:val="24"/>
        </w:rPr>
        <w:t>[Improper Venue and Retrial]</w:t>
      </w:r>
      <w:r w:rsidRPr="006C7E2C">
        <w:rPr>
          <w:rFonts w:eastAsia="Times New Roman"/>
          <w:szCs w:val="24"/>
        </w:rPr>
        <w:br/>
        <w:t>Alito unanimous</w:t>
      </w:r>
      <w:r w:rsidRPr="006C7E2C">
        <w:rPr>
          <w:rFonts w:eastAsia="Times New Roman"/>
          <w:szCs w:val="24"/>
        </w:rPr>
        <w:br/>
        <w:t xml:space="preserve">Smith was indicted in the Northern District of Florida for theft of trade secrets from a website owned by </w:t>
      </w:r>
      <w:proofErr w:type="spellStart"/>
      <w:r w:rsidRPr="006C7E2C">
        <w:rPr>
          <w:rFonts w:eastAsia="Times New Roman"/>
          <w:szCs w:val="24"/>
        </w:rPr>
        <w:t>StrikeLines</w:t>
      </w:r>
      <w:proofErr w:type="spellEnd"/>
      <w:r w:rsidRPr="006C7E2C">
        <w:rPr>
          <w:rFonts w:eastAsia="Times New Roman"/>
          <w:szCs w:val="24"/>
        </w:rPr>
        <w:t xml:space="preserve">. Before trial, Smith moved to dismiss the indictment for lack of venue, citing the Constitution’s Venue Clause, Art. III, §2, cl. 3, and its Vicinage Clause, </w:t>
      </w:r>
      <w:proofErr w:type="spellStart"/>
      <w:r w:rsidRPr="006C7E2C">
        <w:rPr>
          <w:rFonts w:eastAsia="Times New Roman"/>
          <w:szCs w:val="24"/>
        </w:rPr>
        <w:t>Amdt</w:t>
      </w:r>
      <w:proofErr w:type="spellEnd"/>
      <w:r w:rsidRPr="006C7E2C">
        <w:rPr>
          <w:rFonts w:eastAsia="Times New Roman"/>
          <w:szCs w:val="24"/>
        </w:rPr>
        <w:t xml:space="preserve">. 6. Smith argued that trial in the Northern District of Florida was improper because he had accessed </w:t>
      </w:r>
      <w:proofErr w:type="spellStart"/>
      <w:r w:rsidRPr="006C7E2C">
        <w:rPr>
          <w:rFonts w:eastAsia="Times New Roman"/>
          <w:szCs w:val="24"/>
        </w:rPr>
        <w:t>StrikeLines</w:t>
      </w:r>
      <w:proofErr w:type="spellEnd"/>
      <w:r w:rsidRPr="006C7E2C">
        <w:rPr>
          <w:rFonts w:eastAsia="Times New Roman"/>
          <w:szCs w:val="24"/>
        </w:rPr>
        <w:t xml:space="preserve">’ website from his home in Mobile (in the Southern District of Alabama) and the servers storing </w:t>
      </w:r>
      <w:proofErr w:type="spellStart"/>
      <w:r w:rsidRPr="006C7E2C">
        <w:rPr>
          <w:rFonts w:eastAsia="Times New Roman"/>
          <w:szCs w:val="24"/>
        </w:rPr>
        <w:t>StrikeLines</w:t>
      </w:r>
      <w:proofErr w:type="spellEnd"/>
      <w:r w:rsidRPr="006C7E2C">
        <w:rPr>
          <w:rFonts w:eastAsia="Times New Roman"/>
          <w:szCs w:val="24"/>
        </w:rPr>
        <w:t xml:space="preserve">’ data were located in Orlando (in the Middle District of Florida). The District Court concluded that factual disputes related to venue should be resolved by the jury and denied Smith’s motion to dismiss without prejudice. The jury found Smith guilty, and Smith moved for a judgment of acquittal based on improper venue. See Fed. Rule Crim. Proc. 29. The District Court denied the motion, reasoning that the effects of Smith’s crime were felt at </w:t>
      </w:r>
      <w:proofErr w:type="spellStart"/>
      <w:r w:rsidRPr="006C7E2C">
        <w:rPr>
          <w:rFonts w:eastAsia="Times New Roman"/>
          <w:szCs w:val="24"/>
        </w:rPr>
        <w:t>StrikeLines</w:t>
      </w:r>
      <w:proofErr w:type="spellEnd"/>
      <w:r w:rsidRPr="006C7E2C">
        <w:rPr>
          <w:rFonts w:eastAsia="Times New Roman"/>
          <w:szCs w:val="24"/>
        </w:rPr>
        <w:t xml:space="preserve">’ headquarters, located in the Northern District of Florida. On appeal, the Eleventh Circuit determined that venue was improper, but disagreed with Smith that a trial in an improper venue barred </w:t>
      </w:r>
      <w:proofErr w:type="spellStart"/>
      <w:r w:rsidRPr="006C7E2C">
        <w:rPr>
          <w:rFonts w:eastAsia="Times New Roman"/>
          <w:szCs w:val="24"/>
        </w:rPr>
        <w:t>reprosecution</w:t>
      </w:r>
      <w:proofErr w:type="spellEnd"/>
      <w:r w:rsidRPr="006C7E2C">
        <w:rPr>
          <w:rFonts w:eastAsia="Times New Roman"/>
          <w:szCs w:val="24"/>
        </w:rPr>
        <w:t xml:space="preserve">. The Eleventh Circuit therefore vacated Smith’s conviction for theft of trade secrets.  </w:t>
      </w:r>
      <w:r w:rsidRPr="006C7E2C">
        <w:rPr>
          <w:rFonts w:eastAsia="Times New Roman"/>
          <w:b/>
          <w:bCs/>
          <w:szCs w:val="24"/>
        </w:rPr>
        <w:t>Held:</w:t>
      </w:r>
      <w:r w:rsidRPr="006C7E2C">
        <w:rPr>
          <w:rFonts w:eastAsia="Times New Roman"/>
          <w:szCs w:val="24"/>
        </w:rPr>
        <w:t xml:space="preserve"> The Constitution permits the retrial of a defendant following atrial in an improper venue conducted before a </w:t>
      </w:r>
      <w:r w:rsidRPr="006C7E2C">
        <w:rPr>
          <w:rFonts w:eastAsia="Times New Roman"/>
          <w:szCs w:val="24"/>
        </w:rPr>
        <w:lastRenderedPageBreak/>
        <w:t>jury drawn from the wrong district.</w:t>
      </w:r>
      <w:r w:rsidR="00A23B36" w:rsidRPr="006C7E2C">
        <w:rPr>
          <w:rFonts w:eastAsia="Times New Roman"/>
          <w:szCs w:val="24"/>
        </w:rPr>
        <w:br/>
      </w:r>
    </w:p>
    <w:p w14:paraId="4F873D0F" w14:textId="5FDD2ED8" w:rsidR="00A23B36" w:rsidRDefault="00A23B36" w:rsidP="00523BAF">
      <w:pPr>
        <w:numPr>
          <w:ilvl w:val="0"/>
          <w:numId w:val="2"/>
        </w:numPr>
        <w:spacing w:before="100" w:beforeAutospacing="1" w:after="100" w:afterAutospacing="1" w:line="240" w:lineRule="auto"/>
        <w:rPr>
          <w:rFonts w:eastAsia="Times New Roman"/>
          <w:szCs w:val="24"/>
        </w:rPr>
      </w:pPr>
      <w:proofErr w:type="spellStart"/>
      <w:r w:rsidRPr="00A23B36">
        <w:rPr>
          <w:rFonts w:eastAsia="Times New Roman"/>
          <w:i/>
          <w:iCs/>
          <w:szCs w:val="24"/>
        </w:rPr>
        <w:t>Turkiye</w:t>
      </w:r>
      <w:proofErr w:type="spellEnd"/>
      <w:r w:rsidRPr="00A23B36">
        <w:rPr>
          <w:rFonts w:eastAsia="Times New Roman"/>
          <w:i/>
          <w:iCs/>
          <w:szCs w:val="24"/>
        </w:rPr>
        <w:t xml:space="preserve"> </w:t>
      </w:r>
      <w:proofErr w:type="spellStart"/>
      <w:r w:rsidRPr="00A23B36">
        <w:rPr>
          <w:rFonts w:eastAsia="Times New Roman"/>
          <w:i/>
          <w:iCs/>
          <w:szCs w:val="24"/>
        </w:rPr>
        <w:t>Halk</w:t>
      </w:r>
      <w:proofErr w:type="spellEnd"/>
      <w:r w:rsidRPr="00A23B36">
        <w:rPr>
          <w:rFonts w:eastAsia="Times New Roman"/>
          <w:i/>
          <w:iCs/>
          <w:szCs w:val="24"/>
        </w:rPr>
        <w:t xml:space="preserve"> </w:t>
      </w:r>
      <w:proofErr w:type="spellStart"/>
      <w:r w:rsidRPr="00A23B36">
        <w:rPr>
          <w:rFonts w:eastAsia="Times New Roman"/>
          <w:i/>
          <w:iCs/>
          <w:szCs w:val="24"/>
        </w:rPr>
        <w:t>Bankasi</w:t>
      </w:r>
      <w:proofErr w:type="spellEnd"/>
      <w:r w:rsidRPr="00A23B36">
        <w:rPr>
          <w:rFonts w:eastAsia="Times New Roman"/>
          <w:i/>
          <w:iCs/>
          <w:szCs w:val="24"/>
        </w:rPr>
        <w:t xml:space="preserve"> A.S. v. United States</w:t>
      </w:r>
      <w:r w:rsidRPr="00A23B36">
        <w:rPr>
          <w:rFonts w:eastAsia="Times New Roman"/>
          <w:szCs w:val="24"/>
        </w:rPr>
        <w:t>, No. 21</w:t>
      </w:r>
      <w:r w:rsidR="005B0EE8">
        <w:rPr>
          <w:rFonts w:eastAsia="Times New Roman"/>
          <w:szCs w:val="24"/>
        </w:rPr>
        <w:t>-</w:t>
      </w:r>
      <w:r w:rsidRPr="00A23B36">
        <w:rPr>
          <w:rFonts w:eastAsia="Times New Roman"/>
          <w:szCs w:val="24"/>
        </w:rPr>
        <w:t xml:space="preserve">1450, decided April 19, 2023 </w:t>
      </w:r>
      <w:r w:rsidRPr="00A23B36">
        <w:rPr>
          <w:rFonts w:eastAsia="Times New Roman"/>
          <w:b/>
          <w:bCs/>
          <w:szCs w:val="24"/>
        </w:rPr>
        <w:t>[Foreign Sovereign Immunities Act of 1976 and Criminal Prosecution]</w:t>
      </w:r>
      <w:r w:rsidRPr="00A23B36">
        <w:rPr>
          <w:rFonts w:eastAsia="Times New Roman"/>
          <w:b/>
          <w:bCs/>
          <w:szCs w:val="24"/>
        </w:rPr>
        <w:br/>
      </w:r>
      <w:r w:rsidRPr="00A23B36">
        <w:rPr>
          <w:rFonts w:eastAsia="Times New Roman"/>
          <w:szCs w:val="24"/>
        </w:rPr>
        <w:t>Kavanaugh majority, Gorsuch concurring in part and dissenting in part</w:t>
      </w:r>
      <w:r w:rsidRPr="00A23B36">
        <w:rPr>
          <w:rFonts w:eastAsia="Times New Roman"/>
          <w:szCs w:val="24"/>
        </w:rPr>
        <w:br/>
        <w:t xml:space="preserve">The United States indicted </w:t>
      </w:r>
      <w:proofErr w:type="spellStart"/>
      <w:r w:rsidRPr="00A23B36">
        <w:rPr>
          <w:rFonts w:eastAsia="Times New Roman"/>
          <w:szCs w:val="24"/>
        </w:rPr>
        <w:t>Halkbank</w:t>
      </w:r>
      <w:proofErr w:type="spellEnd"/>
      <w:r w:rsidRPr="00A23B36">
        <w:rPr>
          <w:rFonts w:eastAsia="Times New Roman"/>
          <w:szCs w:val="24"/>
        </w:rPr>
        <w:t xml:space="preserve">, a bank owned by the Republic of Turkey, for conspiring to evade U. S. economic sanctions against Iran. </w:t>
      </w:r>
      <w:proofErr w:type="spellStart"/>
      <w:r w:rsidRPr="00A23B36">
        <w:rPr>
          <w:rFonts w:eastAsia="Times New Roman"/>
          <w:szCs w:val="24"/>
        </w:rPr>
        <w:t>Halkbank</w:t>
      </w:r>
      <w:proofErr w:type="spellEnd"/>
      <w:r w:rsidRPr="00A23B36">
        <w:rPr>
          <w:rFonts w:eastAsia="Times New Roman"/>
          <w:szCs w:val="24"/>
        </w:rPr>
        <w:t xml:space="preserve"> moved to dismiss the indictment on the ground that as an instrumentality of a foreign state, </w:t>
      </w:r>
      <w:proofErr w:type="spellStart"/>
      <w:r w:rsidRPr="00A23B36">
        <w:rPr>
          <w:rFonts w:eastAsia="Times New Roman"/>
          <w:szCs w:val="24"/>
        </w:rPr>
        <w:t>Halkbank</w:t>
      </w:r>
      <w:proofErr w:type="spellEnd"/>
      <w:r w:rsidRPr="00A23B36">
        <w:rPr>
          <w:rFonts w:eastAsia="Times New Roman"/>
          <w:szCs w:val="24"/>
        </w:rPr>
        <w:t xml:space="preserve"> is immune from criminal prosecution under the Foreign Sovereign Immunities Act of 1976. The District Court denied the motion. The Second Circuit affirmed after first determining that the District Court had subject matter jurisdiction over </w:t>
      </w:r>
      <w:proofErr w:type="spellStart"/>
      <w:r w:rsidRPr="00A23B36">
        <w:rPr>
          <w:rFonts w:eastAsia="Times New Roman"/>
          <w:szCs w:val="24"/>
        </w:rPr>
        <w:t>Halkbank’s</w:t>
      </w:r>
      <w:proofErr w:type="spellEnd"/>
      <w:r w:rsidRPr="00A23B36">
        <w:rPr>
          <w:rFonts w:eastAsia="Times New Roman"/>
          <w:szCs w:val="24"/>
        </w:rPr>
        <w:t xml:space="preserve"> criminal prosecution under 18 U. S. C. §3231. The Second Circuit further held that even assuming the FSIA confers immunity in criminal proceedings, </w:t>
      </w:r>
      <w:proofErr w:type="spellStart"/>
      <w:r w:rsidRPr="00A23B36">
        <w:rPr>
          <w:rFonts w:eastAsia="Times New Roman"/>
          <w:szCs w:val="24"/>
        </w:rPr>
        <w:t>Halkbank’s</w:t>
      </w:r>
      <w:proofErr w:type="spellEnd"/>
      <w:r w:rsidRPr="00A23B36">
        <w:rPr>
          <w:rFonts w:eastAsia="Times New Roman"/>
          <w:szCs w:val="24"/>
        </w:rPr>
        <w:t xml:space="preserve"> charged conduct fell within the FSIA’s exception for commercial activities.  </w:t>
      </w:r>
      <w:r w:rsidRPr="00A23B36">
        <w:rPr>
          <w:rFonts w:eastAsia="Times New Roman"/>
          <w:b/>
          <w:bCs/>
          <w:szCs w:val="24"/>
        </w:rPr>
        <w:t xml:space="preserve">Held:  </w:t>
      </w:r>
      <w:r w:rsidRPr="00A23B36">
        <w:rPr>
          <w:rFonts w:eastAsia="Times New Roman"/>
          <w:szCs w:val="24"/>
        </w:rPr>
        <w:t xml:space="preserve">The District Court has jurisdiction under §3231 over this criminal prosecution of </w:t>
      </w:r>
      <w:proofErr w:type="spellStart"/>
      <w:r w:rsidRPr="00A23B36">
        <w:rPr>
          <w:rFonts w:eastAsia="Times New Roman"/>
          <w:szCs w:val="24"/>
        </w:rPr>
        <w:t>Halkbank</w:t>
      </w:r>
      <w:proofErr w:type="spellEnd"/>
      <w:r w:rsidRPr="00A23B36">
        <w:rPr>
          <w:rFonts w:eastAsia="Times New Roman"/>
          <w:szCs w:val="24"/>
        </w:rPr>
        <w:t xml:space="preserve">. Section 3231 grants district courts original jurisdiction of “all offenses against the laws of the United States,” and </w:t>
      </w:r>
      <w:proofErr w:type="spellStart"/>
      <w:r w:rsidRPr="00A23B36">
        <w:rPr>
          <w:rFonts w:eastAsia="Times New Roman"/>
          <w:szCs w:val="24"/>
        </w:rPr>
        <w:t>Halkbank</w:t>
      </w:r>
      <w:proofErr w:type="spellEnd"/>
      <w:r w:rsidRPr="00A23B36">
        <w:rPr>
          <w:rFonts w:eastAsia="Times New Roman"/>
          <w:szCs w:val="24"/>
        </w:rPr>
        <w:t xml:space="preserve"> does not dispute that §3231’s text as written encompasses the charged offenses. </w:t>
      </w:r>
      <w:proofErr w:type="spellStart"/>
      <w:r w:rsidRPr="00A23B36">
        <w:rPr>
          <w:rFonts w:eastAsia="Times New Roman"/>
          <w:szCs w:val="24"/>
        </w:rPr>
        <w:t>Halkbank</w:t>
      </w:r>
      <w:proofErr w:type="spellEnd"/>
      <w:r w:rsidRPr="00A23B36">
        <w:rPr>
          <w:rFonts w:eastAsia="Times New Roman"/>
          <w:szCs w:val="24"/>
        </w:rPr>
        <w:t xml:space="preserve"> instead argues that because §3231 does not mention foreign states or their instrumentalities, §3231 implicitly excludes them. The Court declines to graft such an </w:t>
      </w:r>
      <w:proofErr w:type="spellStart"/>
      <w:r w:rsidRPr="00A23B36">
        <w:rPr>
          <w:rFonts w:eastAsia="Times New Roman"/>
          <w:szCs w:val="24"/>
        </w:rPr>
        <w:t>atextual</w:t>
      </w:r>
      <w:proofErr w:type="spellEnd"/>
      <w:r w:rsidRPr="00A23B36">
        <w:rPr>
          <w:rFonts w:eastAsia="Times New Roman"/>
          <w:szCs w:val="24"/>
        </w:rPr>
        <w:t xml:space="preserve"> limitation onto §3231’s broad jurisdictional grant. The scattered express references to foreign states and instrumentalities in unrelated U. S. Code provisions to which </w:t>
      </w:r>
      <w:proofErr w:type="spellStart"/>
      <w:r w:rsidRPr="00A23B36">
        <w:rPr>
          <w:rFonts w:eastAsia="Times New Roman"/>
          <w:szCs w:val="24"/>
        </w:rPr>
        <w:t>Halkbank</w:t>
      </w:r>
      <w:proofErr w:type="spellEnd"/>
      <w:r w:rsidRPr="00A23B36">
        <w:rPr>
          <w:rFonts w:eastAsia="Times New Roman"/>
          <w:szCs w:val="24"/>
        </w:rPr>
        <w:t xml:space="preserve"> points do not shrink the textual scope of §3231. And the Court’s precedents interpreting the Judiciary Act of 1789 do not support </w:t>
      </w:r>
      <w:proofErr w:type="spellStart"/>
      <w:r w:rsidRPr="00A23B36">
        <w:rPr>
          <w:rFonts w:eastAsia="Times New Roman"/>
          <w:szCs w:val="24"/>
        </w:rPr>
        <w:t>Halkbank</w:t>
      </w:r>
      <w:proofErr w:type="spellEnd"/>
      <w:r w:rsidRPr="00A23B36">
        <w:rPr>
          <w:rFonts w:eastAsia="Times New Roman"/>
          <w:szCs w:val="24"/>
        </w:rPr>
        <w:t>, as the Court has not interpreted the jurisdictional provisions in the 1789 Act to contain an implicit exclusion for foreign state entities. Further, t</w:t>
      </w:r>
      <w:r>
        <w:rPr>
          <w:rFonts w:eastAsia="Times New Roman"/>
          <w:szCs w:val="24"/>
        </w:rPr>
        <w:t>he</w:t>
      </w:r>
      <w:r w:rsidRPr="00A23B36">
        <w:rPr>
          <w:rFonts w:eastAsia="Times New Roman"/>
          <w:szCs w:val="24"/>
        </w:rPr>
        <w:t xml:space="preserve"> FSIA’s comprehensive scheme governing claims of immunity in civil actions against foreign states and their instrumentalities does not cover criminal cases.</w:t>
      </w:r>
      <w:r w:rsidR="003C6E65">
        <w:rPr>
          <w:rFonts w:eastAsia="Times New Roman"/>
          <w:szCs w:val="24"/>
        </w:rPr>
        <w:br/>
      </w:r>
    </w:p>
    <w:p w14:paraId="1510005F" w14:textId="520851F3" w:rsidR="003C6E65" w:rsidRDefault="003C6E65" w:rsidP="0099638C">
      <w:pPr>
        <w:numPr>
          <w:ilvl w:val="0"/>
          <w:numId w:val="2"/>
        </w:numPr>
        <w:spacing w:before="100" w:beforeAutospacing="1" w:after="100" w:afterAutospacing="1" w:line="240" w:lineRule="auto"/>
        <w:rPr>
          <w:rFonts w:eastAsia="Times New Roman"/>
          <w:szCs w:val="24"/>
        </w:rPr>
      </w:pPr>
      <w:r w:rsidRPr="003C6E65">
        <w:rPr>
          <w:rFonts w:eastAsia="Times New Roman"/>
          <w:i/>
          <w:iCs/>
          <w:szCs w:val="24"/>
        </w:rPr>
        <w:t>United States v. Hansen</w:t>
      </w:r>
      <w:r w:rsidRPr="003C6E65">
        <w:rPr>
          <w:rFonts w:eastAsia="Times New Roman"/>
          <w:szCs w:val="24"/>
        </w:rPr>
        <w:t xml:space="preserve">, No. 22-179, decided June 23, 2023 </w:t>
      </w:r>
      <w:r w:rsidRPr="003C6E65">
        <w:rPr>
          <w:rFonts w:eastAsia="Times New Roman"/>
          <w:b/>
          <w:bCs/>
          <w:szCs w:val="24"/>
        </w:rPr>
        <w:t>[First Amendment]</w:t>
      </w:r>
      <w:r w:rsidRPr="003C6E65">
        <w:rPr>
          <w:rFonts w:eastAsia="Times New Roman"/>
          <w:szCs w:val="24"/>
        </w:rPr>
        <w:br/>
      </w:r>
      <w:r>
        <w:rPr>
          <w:rFonts w:eastAsia="Times New Roman"/>
          <w:szCs w:val="24"/>
        </w:rPr>
        <w:t>Barrett majority, Thomas concurring, Jackson dissenting</w:t>
      </w:r>
      <w:r w:rsidRPr="003C6E65">
        <w:rPr>
          <w:rFonts w:eastAsia="Times New Roman"/>
          <w:szCs w:val="24"/>
        </w:rPr>
        <w:br/>
        <w:t>Hansen promised hundreds of noncitizens a path to U. S. citizenship through “adult adoption.” But that was a scam.  Though there is no path to citizenship through “adult adoption,” Hansen earned nearly $2 million from his scheme. The United States charged Hansen with, inter alia, violating 8 U. S. C. §1324(a)(1)(A)(iv), which forbids “</w:t>
      </w:r>
      <w:proofErr w:type="spellStart"/>
      <w:r w:rsidRPr="003C6E65">
        <w:rPr>
          <w:rFonts w:eastAsia="Times New Roman"/>
          <w:szCs w:val="24"/>
        </w:rPr>
        <w:t>encourag</w:t>
      </w:r>
      <w:proofErr w:type="spellEnd"/>
      <w:r w:rsidRPr="003C6E65">
        <w:rPr>
          <w:rFonts w:eastAsia="Times New Roman"/>
          <w:szCs w:val="24"/>
        </w:rPr>
        <w:t>[</w:t>
      </w:r>
      <w:proofErr w:type="spellStart"/>
      <w:r w:rsidRPr="003C6E65">
        <w:rPr>
          <w:rFonts w:eastAsia="Times New Roman"/>
          <w:szCs w:val="24"/>
        </w:rPr>
        <w:t>ing</w:t>
      </w:r>
      <w:proofErr w:type="spellEnd"/>
      <w:r w:rsidRPr="003C6E65">
        <w:rPr>
          <w:rFonts w:eastAsia="Times New Roman"/>
          <w:szCs w:val="24"/>
        </w:rPr>
        <w:t xml:space="preserve">] or </w:t>
      </w:r>
      <w:proofErr w:type="spellStart"/>
      <w:r w:rsidRPr="003C6E65">
        <w:rPr>
          <w:rFonts w:eastAsia="Times New Roman"/>
          <w:szCs w:val="24"/>
        </w:rPr>
        <w:t>induc</w:t>
      </w:r>
      <w:proofErr w:type="spellEnd"/>
      <w:r w:rsidRPr="003C6E65">
        <w:rPr>
          <w:rFonts w:eastAsia="Times New Roman"/>
          <w:szCs w:val="24"/>
        </w:rPr>
        <w:t>[</w:t>
      </w:r>
      <w:proofErr w:type="spellStart"/>
      <w:r w:rsidRPr="003C6E65">
        <w:rPr>
          <w:rFonts w:eastAsia="Times New Roman"/>
          <w:szCs w:val="24"/>
        </w:rPr>
        <w:t>ing</w:t>
      </w:r>
      <w:proofErr w:type="spellEnd"/>
      <w:r w:rsidRPr="003C6E65">
        <w:rPr>
          <w:rFonts w:eastAsia="Times New Roman"/>
          <w:szCs w:val="24"/>
        </w:rPr>
        <w:t xml:space="preserve">] an alien to come to, enter, or reside in the United States, knowing or in reckless disregard of the fact that such [activity] is or will be in violation of law.” Hansen was convicted and moved to dismiss the clause (iv) charges on First Amendment overbreadth grounds. The District Court rejected Hansen’s argument, but the Ninth Circuit concluded that clause (iv) was unconstitutionally overbroad.  </w:t>
      </w:r>
      <w:r w:rsidRPr="003C6E65">
        <w:rPr>
          <w:rFonts w:eastAsia="Times New Roman"/>
          <w:b/>
          <w:bCs/>
          <w:szCs w:val="24"/>
        </w:rPr>
        <w:t>Held:</w:t>
      </w:r>
      <w:r w:rsidRPr="003C6E65">
        <w:rPr>
          <w:rFonts w:eastAsia="Times New Roman"/>
          <w:szCs w:val="24"/>
        </w:rPr>
        <w:t xml:space="preserve"> Because §1324(a)(1)(A)(iv) forbids only the purposeful solicitation and facilitation of specific acts known to violate federal law, the clause is not unconstitutionally overbroad.</w:t>
      </w:r>
      <w:r>
        <w:rPr>
          <w:rFonts w:eastAsia="Times New Roman"/>
          <w:szCs w:val="24"/>
        </w:rPr>
        <w:br/>
      </w:r>
    </w:p>
    <w:p w14:paraId="5418CC84" w14:textId="165241E3" w:rsidR="003C6E65" w:rsidRPr="003C6E65" w:rsidRDefault="003C6E65" w:rsidP="004C47EE">
      <w:pPr>
        <w:numPr>
          <w:ilvl w:val="0"/>
          <w:numId w:val="2"/>
        </w:numPr>
        <w:spacing w:before="100" w:beforeAutospacing="1" w:after="100" w:afterAutospacing="1" w:line="240" w:lineRule="auto"/>
        <w:rPr>
          <w:rFonts w:eastAsia="Times New Roman"/>
          <w:szCs w:val="24"/>
        </w:rPr>
      </w:pPr>
      <w:r w:rsidRPr="003C6E65">
        <w:rPr>
          <w:rFonts w:eastAsia="Times New Roman"/>
          <w:i/>
          <w:iCs/>
          <w:szCs w:val="24"/>
        </w:rPr>
        <w:t>United States v. Texas</w:t>
      </w:r>
      <w:r w:rsidRPr="003C6E65">
        <w:rPr>
          <w:rFonts w:eastAsia="Times New Roman"/>
          <w:szCs w:val="24"/>
        </w:rPr>
        <w:t xml:space="preserve">, No. 22-58, decided June 23, 2023 </w:t>
      </w:r>
      <w:r w:rsidRPr="003C6E65">
        <w:rPr>
          <w:rFonts w:eastAsia="Times New Roman"/>
          <w:b/>
          <w:bCs/>
          <w:szCs w:val="24"/>
        </w:rPr>
        <w:t>[Standing]</w:t>
      </w:r>
      <w:r w:rsidRPr="003C6E65">
        <w:rPr>
          <w:rFonts w:eastAsia="Times New Roman"/>
          <w:szCs w:val="24"/>
        </w:rPr>
        <w:br/>
      </w:r>
      <w:r>
        <w:rPr>
          <w:rFonts w:eastAsia="Times New Roman"/>
          <w:szCs w:val="24"/>
        </w:rPr>
        <w:t>Kavanaugh majority, Gorsuch concurring, Barrett concurring, Alito dissenting</w:t>
      </w:r>
      <w:r w:rsidRPr="003C6E65">
        <w:rPr>
          <w:rFonts w:eastAsia="Times New Roman"/>
          <w:szCs w:val="24"/>
        </w:rPr>
        <w:br/>
        <w:t xml:space="preserve">In 2021, the Secretary of Homeland Security promulgated new immigration-enforcement guidelines (Guidelines for the Enforcement of Civil Immigration Law) that prioritize the arrest and removal from the United States of noncitizens who are suspected terrorists or </w:t>
      </w:r>
      <w:r w:rsidRPr="003C6E65">
        <w:rPr>
          <w:rFonts w:eastAsia="Times New Roman"/>
          <w:szCs w:val="24"/>
        </w:rPr>
        <w:lastRenderedPageBreak/>
        <w:t xml:space="preserve">dangerous criminals or who have unlawfully entered the country only recently, for example. The States of Texas and Louisiana claim that the Guidelines contravene two federal statutes that they read to require the arrest of certain noncitizens upon their release from prison (8 U. S. C. §1226(c)) or entry of a final order of removal (§1231(a)(2)). The District Court found that the States would incur costs due to the Executive’s failure to comply with those alleged statutory mandates, and that the States had standing to sue based on those costs. On the merits, the District Court found the Guidelines unlawful and vacated them. The Fifth Circuit declined to stay the District Court’s judgment, and this Court granted certiorari before judgment. </w:t>
      </w:r>
      <w:r>
        <w:rPr>
          <w:rFonts w:eastAsia="Times New Roman"/>
          <w:szCs w:val="24"/>
        </w:rPr>
        <w:t xml:space="preserve"> </w:t>
      </w:r>
      <w:r w:rsidRPr="003C6E65">
        <w:rPr>
          <w:rFonts w:eastAsia="Times New Roman"/>
          <w:b/>
          <w:bCs/>
          <w:szCs w:val="24"/>
        </w:rPr>
        <w:t>Held:</w:t>
      </w:r>
      <w:r w:rsidRPr="003C6E65">
        <w:rPr>
          <w:rFonts w:eastAsia="Times New Roman"/>
          <w:szCs w:val="24"/>
        </w:rPr>
        <w:t xml:space="preserve"> Texas and Louisiana lack Article III standing to challenge the</w:t>
      </w:r>
    </w:p>
    <w:p w14:paraId="481B954B" w14:textId="566ACA87" w:rsidR="003C6E65" w:rsidRPr="003C6E65" w:rsidRDefault="003C6E65" w:rsidP="003C6E65">
      <w:pPr>
        <w:numPr>
          <w:ilvl w:val="0"/>
          <w:numId w:val="2"/>
        </w:numPr>
        <w:spacing w:before="100" w:beforeAutospacing="1" w:after="100" w:afterAutospacing="1" w:line="240" w:lineRule="auto"/>
        <w:rPr>
          <w:rFonts w:eastAsia="Times New Roman"/>
          <w:szCs w:val="24"/>
        </w:rPr>
      </w:pPr>
      <w:r w:rsidRPr="003C6E65">
        <w:rPr>
          <w:rFonts w:eastAsia="Times New Roman"/>
          <w:szCs w:val="24"/>
        </w:rPr>
        <w:t>Guidelines.</w:t>
      </w:r>
    </w:p>
    <w:sectPr w:rsidR="003C6E65" w:rsidRPr="003C6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44DA7"/>
    <w:multiLevelType w:val="hybridMultilevel"/>
    <w:tmpl w:val="8A70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96BD5"/>
    <w:multiLevelType w:val="hybridMultilevel"/>
    <w:tmpl w:val="1EA644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E973E9"/>
    <w:multiLevelType w:val="hybridMultilevel"/>
    <w:tmpl w:val="D18C6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17588891">
    <w:abstractNumId w:val="1"/>
  </w:num>
  <w:num w:numId="2" w16cid:durableId="228468960">
    <w:abstractNumId w:val="2"/>
  </w:num>
  <w:num w:numId="3" w16cid:durableId="300307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A4"/>
    <w:rsid w:val="00000D02"/>
    <w:rsid w:val="000138DF"/>
    <w:rsid w:val="00015113"/>
    <w:rsid w:val="00016770"/>
    <w:rsid w:val="0003364C"/>
    <w:rsid w:val="00041D51"/>
    <w:rsid w:val="00043E62"/>
    <w:rsid w:val="000517C5"/>
    <w:rsid w:val="000574A1"/>
    <w:rsid w:val="00060B27"/>
    <w:rsid w:val="0006318F"/>
    <w:rsid w:val="00064DA1"/>
    <w:rsid w:val="00070CEB"/>
    <w:rsid w:val="000719BA"/>
    <w:rsid w:val="0007222F"/>
    <w:rsid w:val="00081F34"/>
    <w:rsid w:val="0008433D"/>
    <w:rsid w:val="00097839"/>
    <w:rsid w:val="000A303C"/>
    <w:rsid w:val="000A359D"/>
    <w:rsid w:val="000B1D07"/>
    <w:rsid w:val="000C4B93"/>
    <w:rsid w:val="000D1551"/>
    <w:rsid w:val="000D5D11"/>
    <w:rsid w:val="000E5875"/>
    <w:rsid w:val="000F4017"/>
    <w:rsid w:val="000F7A46"/>
    <w:rsid w:val="00113AC3"/>
    <w:rsid w:val="00113D45"/>
    <w:rsid w:val="00117755"/>
    <w:rsid w:val="001238B2"/>
    <w:rsid w:val="00123E01"/>
    <w:rsid w:val="0012596A"/>
    <w:rsid w:val="001267B6"/>
    <w:rsid w:val="001326A4"/>
    <w:rsid w:val="00132A8A"/>
    <w:rsid w:val="0013733D"/>
    <w:rsid w:val="0014219A"/>
    <w:rsid w:val="00156E07"/>
    <w:rsid w:val="0016015D"/>
    <w:rsid w:val="00161C0F"/>
    <w:rsid w:val="00164C7B"/>
    <w:rsid w:val="001722CD"/>
    <w:rsid w:val="001757FF"/>
    <w:rsid w:val="0018147F"/>
    <w:rsid w:val="0019239C"/>
    <w:rsid w:val="00194434"/>
    <w:rsid w:val="001A0755"/>
    <w:rsid w:val="001A24A1"/>
    <w:rsid w:val="001A4DB1"/>
    <w:rsid w:val="001A6B54"/>
    <w:rsid w:val="001A7191"/>
    <w:rsid w:val="001B1029"/>
    <w:rsid w:val="001B6206"/>
    <w:rsid w:val="001C1C2C"/>
    <w:rsid w:val="001C46E0"/>
    <w:rsid w:val="001C4A8B"/>
    <w:rsid w:val="001C70FA"/>
    <w:rsid w:val="001D02F1"/>
    <w:rsid w:val="001D1A5D"/>
    <w:rsid w:val="001D5CE2"/>
    <w:rsid w:val="001F6A7E"/>
    <w:rsid w:val="00203A82"/>
    <w:rsid w:val="00211758"/>
    <w:rsid w:val="00213CDA"/>
    <w:rsid w:val="002237C6"/>
    <w:rsid w:val="0022541E"/>
    <w:rsid w:val="00225B76"/>
    <w:rsid w:val="00230AAD"/>
    <w:rsid w:val="0024222B"/>
    <w:rsid w:val="00247124"/>
    <w:rsid w:val="002556D2"/>
    <w:rsid w:val="00262335"/>
    <w:rsid w:val="00266854"/>
    <w:rsid w:val="00270B2C"/>
    <w:rsid w:val="00274C46"/>
    <w:rsid w:val="0027642A"/>
    <w:rsid w:val="0028460E"/>
    <w:rsid w:val="00284BEA"/>
    <w:rsid w:val="00285B46"/>
    <w:rsid w:val="00287762"/>
    <w:rsid w:val="00292432"/>
    <w:rsid w:val="002A4E88"/>
    <w:rsid w:val="002B00AF"/>
    <w:rsid w:val="002B3DB9"/>
    <w:rsid w:val="002B5D5A"/>
    <w:rsid w:val="002B6B8A"/>
    <w:rsid w:val="002B7C91"/>
    <w:rsid w:val="002C0535"/>
    <w:rsid w:val="002C3BCF"/>
    <w:rsid w:val="002D07F2"/>
    <w:rsid w:val="002E165E"/>
    <w:rsid w:val="002E696F"/>
    <w:rsid w:val="00303552"/>
    <w:rsid w:val="003208E8"/>
    <w:rsid w:val="00323CCF"/>
    <w:rsid w:val="00327191"/>
    <w:rsid w:val="00331054"/>
    <w:rsid w:val="00337695"/>
    <w:rsid w:val="00353028"/>
    <w:rsid w:val="003547E0"/>
    <w:rsid w:val="00356FF2"/>
    <w:rsid w:val="00362DF3"/>
    <w:rsid w:val="00362F4A"/>
    <w:rsid w:val="003724E4"/>
    <w:rsid w:val="0037426A"/>
    <w:rsid w:val="00375322"/>
    <w:rsid w:val="0037733C"/>
    <w:rsid w:val="003906F9"/>
    <w:rsid w:val="0039345B"/>
    <w:rsid w:val="003A32A6"/>
    <w:rsid w:val="003A48A5"/>
    <w:rsid w:val="003A4A9E"/>
    <w:rsid w:val="003A6405"/>
    <w:rsid w:val="003B184F"/>
    <w:rsid w:val="003B21D2"/>
    <w:rsid w:val="003B6108"/>
    <w:rsid w:val="003C0624"/>
    <w:rsid w:val="003C29F3"/>
    <w:rsid w:val="003C6E65"/>
    <w:rsid w:val="003D3B85"/>
    <w:rsid w:val="003E32BB"/>
    <w:rsid w:val="003E517F"/>
    <w:rsid w:val="003E67E8"/>
    <w:rsid w:val="00413096"/>
    <w:rsid w:val="00415007"/>
    <w:rsid w:val="0042241A"/>
    <w:rsid w:val="00423F21"/>
    <w:rsid w:val="00427B05"/>
    <w:rsid w:val="004335A3"/>
    <w:rsid w:val="00433C84"/>
    <w:rsid w:val="0044141F"/>
    <w:rsid w:val="00451435"/>
    <w:rsid w:val="004525C2"/>
    <w:rsid w:val="00456255"/>
    <w:rsid w:val="00460F4C"/>
    <w:rsid w:val="00463298"/>
    <w:rsid w:val="00466755"/>
    <w:rsid w:val="0047029E"/>
    <w:rsid w:val="004904E1"/>
    <w:rsid w:val="00491879"/>
    <w:rsid w:val="0049549E"/>
    <w:rsid w:val="004A38F6"/>
    <w:rsid w:val="004B2739"/>
    <w:rsid w:val="004B2CAF"/>
    <w:rsid w:val="004B7402"/>
    <w:rsid w:val="004D5EB4"/>
    <w:rsid w:val="004E3CF9"/>
    <w:rsid w:val="004F41E5"/>
    <w:rsid w:val="00505385"/>
    <w:rsid w:val="00511DE4"/>
    <w:rsid w:val="00515918"/>
    <w:rsid w:val="005218FF"/>
    <w:rsid w:val="005225CB"/>
    <w:rsid w:val="0052518B"/>
    <w:rsid w:val="005275F0"/>
    <w:rsid w:val="005305C4"/>
    <w:rsid w:val="00536CAA"/>
    <w:rsid w:val="00552185"/>
    <w:rsid w:val="00562BAB"/>
    <w:rsid w:val="00576307"/>
    <w:rsid w:val="0059537C"/>
    <w:rsid w:val="005A0D3A"/>
    <w:rsid w:val="005A6B69"/>
    <w:rsid w:val="005A7C5D"/>
    <w:rsid w:val="005B0EE8"/>
    <w:rsid w:val="005C13E4"/>
    <w:rsid w:val="005C1401"/>
    <w:rsid w:val="005C3147"/>
    <w:rsid w:val="005C450B"/>
    <w:rsid w:val="005E31C5"/>
    <w:rsid w:val="005E7028"/>
    <w:rsid w:val="00610AF6"/>
    <w:rsid w:val="006216AA"/>
    <w:rsid w:val="00627980"/>
    <w:rsid w:val="00630E8E"/>
    <w:rsid w:val="006346C2"/>
    <w:rsid w:val="00634A41"/>
    <w:rsid w:val="006368D0"/>
    <w:rsid w:val="00645D4E"/>
    <w:rsid w:val="00653440"/>
    <w:rsid w:val="00657AB7"/>
    <w:rsid w:val="00657B46"/>
    <w:rsid w:val="00661CAE"/>
    <w:rsid w:val="00673560"/>
    <w:rsid w:val="00675981"/>
    <w:rsid w:val="0067733A"/>
    <w:rsid w:val="006779D0"/>
    <w:rsid w:val="00684323"/>
    <w:rsid w:val="006A24DE"/>
    <w:rsid w:val="006A3761"/>
    <w:rsid w:val="006A416F"/>
    <w:rsid w:val="006A49A5"/>
    <w:rsid w:val="006A6A4E"/>
    <w:rsid w:val="006B7162"/>
    <w:rsid w:val="006B7F44"/>
    <w:rsid w:val="006C00A3"/>
    <w:rsid w:val="006C2EE8"/>
    <w:rsid w:val="006C7E2C"/>
    <w:rsid w:val="006D1FC4"/>
    <w:rsid w:val="006D63D1"/>
    <w:rsid w:val="006E4BD1"/>
    <w:rsid w:val="006E51C3"/>
    <w:rsid w:val="006E6F22"/>
    <w:rsid w:val="006E76AB"/>
    <w:rsid w:val="006F0BC6"/>
    <w:rsid w:val="006F2425"/>
    <w:rsid w:val="006F43C3"/>
    <w:rsid w:val="006F6A8C"/>
    <w:rsid w:val="007052D3"/>
    <w:rsid w:val="007056CD"/>
    <w:rsid w:val="00713F66"/>
    <w:rsid w:val="00717370"/>
    <w:rsid w:val="00717E03"/>
    <w:rsid w:val="00720437"/>
    <w:rsid w:val="00720803"/>
    <w:rsid w:val="00726C65"/>
    <w:rsid w:val="00745070"/>
    <w:rsid w:val="00754C52"/>
    <w:rsid w:val="007626A1"/>
    <w:rsid w:val="00780E62"/>
    <w:rsid w:val="00783651"/>
    <w:rsid w:val="00787AED"/>
    <w:rsid w:val="007925C0"/>
    <w:rsid w:val="00792A27"/>
    <w:rsid w:val="0079703A"/>
    <w:rsid w:val="007A1B5B"/>
    <w:rsid w:val="007B0DF5"/>
    <w:rsid w:val="007B3FEB"/>
    <w:rsid w:val="007B5133"/>
    <w:rsid w:val="007C4ECD"/>
    <w:rsid w:val="007E21D8"/>
    <w:rsid w:val="008078FF"/>
    <w:rsid w:val="00811A67"/>
    <w:rsid w:val="00812027"/>
    <w:rsid w:val="0082565C"/>
    <w:rsid w:val="00825956"/>
    <w:rsid w:val="00826FBE"/>
    <w:rsid w:val="008304A4"/>
    <w:rsid w:val="008314F9"/>
    <w:rsid w:val="00834D6F"/>
    <w:rsid w:val="00835268"/>
    <w:rsid w:val="00837191"/>
    <w:rsid w:val="00841749"/>
    <w:rsid w:val="008570F3"/>
    <w:rsid w:val="008600BD"/>
    <w:rsid w:val="00872447"/>
    <w:rsid w:val="0089043A"/>
    <w:rsid w:val="00893722"/>
    <w:rsid w:val="008B149A"/>
    <w:rsid w:val="008B64B6"/>
    <w:rsid w:val="008B79C5"/>
    <w:rsid w:val="008B7F65"/>
    <w:rsid w:val="008C35AB"/>
    <w:rsid w:val="008C78F7"/>
    <w:rsid w:val="008C7B39"/>
    <w:rsid w:val="008D07E1"/>
    <w:rsid w:val="008D292D"/>
    <w:rsid w:val="008E19CC"/>
    <w:rsid w:val="008E2BD3"/>
    <w:rsid w:val="008E75CF"/>
    <w:rsid w:val="008F0D4C"/>
    <w:rsid w:val="00911E92"/>
    <w:rsid w:val="00924E09"/>
    <w:rsid w:val="00933A5B"/>
    <w:rsid w:val="00935308"/>
    <w:rsid w:val="0095691C"/>
    <w:rsid w:val="00966659"/>
    <w:rsid w:val="009700B6"/>
    <w:rsid w:val="00980A1D"/>
    <w:rsid w:val="009A00A4"/>
    <w:rsid w:val="009A11FD"/>
    <w:rsid w:val="009A7382"/>
    <w:rsid w:val="009A7633"/>
    <w:rsid w:val="009A7824"/>
    <w:rsid w:val="009B7BE3"/>
    <w:rsid w:val="009C1C47"/>
    <w:rsid w:val="009C543E"/>
    <w:rsid w:val="009D190E"/>
    <w:rsid w:val="009D6CBE"/>
    <w:rsid w:val="009E588E"/>
    <w:rsid w:val="009F1F41"/>
    <w:rsid w:val="00A06280"/>
    <w:rsid w:val="00A110B6"/>
    <w:rsid w:val="00A1400C"/>
    <w:rsid w:val="00A14F69"/>
    <w:rsid w:val="00A15B63"/>
    <w:rsid w:val="00A23B36"/>
    <w:rsid w:val="00A30C13"/>
    <w:rsid w:val="00A35A55"/>
    <w:rsid w:val="00A4168E"/>
    <w:rsid w:val="00A45DB4"/>
    <w:rsid w:val="00A45F66"/>
    <w:rsid w:val="00A57651"/>
    <w:rsid w:val="00A6602A"/>
    <w:rsid w:val="00A67393"/>
    <w:rsid w:val="00A71432"/>
    <w:rsid w:val="00A73540"/>
    <w:rsid w:val="00A77484"/>
    <w:rsid w:val="00A938E4"/>
    <w:rsid w:val="00A93AEE"/>
    <w:rsid w:val="00A95A1E"/>
    <w:rsid w:val="00A95A26"/>
    <w:rsid w:val="00A96610"/>
    <w:rsid w:val="00A970DE"/>
    <w:rsid w:val="00AA3B36"/>
    <w:rsid w:val="00AA51C2"/>
    <w:rsid w:val="00AB20F8"/>
    <w:rsid w:val="00AB79A9"/>
    <w:rsid w:val="00AB7D10"/>
    <w:rsid w:val="00AC0C00"/>
    <w:rsid w:val="00AD4DED"/>
    <w:rsid w:val="00AE24C6"/>
    <w:rsid w:val="00AE6833"/>
    <w:rsid w:val="00B058AC"/>
    <w:rsid w:val="00B14C9A"/>
    <w:rsid w:val="00B1631A"/>
    <w:rsid w:val="00B21A42"/>
    <w:rsid w:val="00B27D28"/>
    <w:rsid w:val="00B332DA"/>
    <w:rsid w:val="00B34EDC"/>
    <w:rsid w:val="00B36AFA"/>
    <w:rsid w:val="00B6506B"/>
    <w:rsid w:val="00B75DA3"/>
    <w:rsid w:val="00B8789C"/>
    <w:rsid w:val="00B95ACA"/>
    <w:rsid w:val="00B9738C"/>
    <w:rsid w:val="00BA4F94"/>
    <w:rsid w:val="00BB4580"/>
    <w:rsid w:val="00BB5B14"/>
    <w:rsid w:val="00BB6325"/>
    <w:rsid w:val="00BB6C02"/>
    <w:rsid w:val="00BC25ED"/>
    <w:rsid w:val="00BD4E96"/>
    <w:rsid w:val="00BE0252"/>
    <w:rsid w:val="00BE0A2B"/>
    <w:rsid w:val="00BE5DDB"/>
    <w:rsid w:val="00BF45D8"/>
    <w:rsid w:val="00BF51E2"/>
    <w:rsid w:val="00BF6A3D"/>
    <w:rsid w:val="00BF6BC3"/>
    <w:rsid w:val="00C024B6"/>
    <w:rsid w:val="00C05177"/>
    <w:rsid w:val="00C10093"/>
    <w:rsid w:val="00C10AA4"/>
    <w:rsid w:val="00C11355"/>
    <w:rsid w:val="00C1373A"/>
    <w:rsid w:val="00C15E47"/>
    <w:rsid w:val="00C26AFB"/>
    <w:rsid w:val="00C31B1A"/>
    <w:rsid w:val="00C3451A"/>
    <w:rsid w:val="00C4079E"/>
    <w:rsid w:val="00C50DA1"/>
    <w:rsid w:val="00C55E06"/>
    <w:rsid w:val="00C60DB5"/>
    <w:rsid w:val="00C61129"/>
    <w:rsid w:val="00C614BB"/>
    <w:rsid w:val="00C71833"/>
    <w:rsid w:val="00C8730D"/>
    <w:rsid w:val="00C97EF2"/>
    <w:rsid w:val="00CB32DB"/>
    <w:rsid w:val="00CC65B1"/>
    <w:rsid w:val="00CD0149"/>
    <w:rsid w:val="00CD245C"/>
    <w:rsid w:val="00CD4A02"/>
    <w:rsid w:val="00CF2EB7"/>
    <w:rsid w:val="00D03BD0"/>
    <w:rsid w:val="00D10737"/>
    <w:rsid w:val="00D1102A"/>
    <w:rsid w:val="00D12B19"/>
    <w:rsid w:val="00D23DB3"/>
    <w:rsid w:val="00D26FBB"/>
    <w:rsid w:val="00D35A2B"/>
    <w:rsid w:val="00D51B1F"/>
    <w:rsid w:val="00D54EEC"/>
    <w:rsid w:val="00D5679D"/>
    <w:rsid w:val="00D66042"/>
    <w:rsid w:val="00D7299E"/>
    <w:rsid w:val="00D80DFA"/>
    <w:rsid w:val="00D83EEA"/>
    <w:rsid w:val="00D93FA5"/>
    <w:rsid w:val="00D94453"/>
    <w:rsid w:val="00DA6E34"/>
    <w:rsid w:val="00DB2772"/>
    <w:rsid w:val="00DB6234"/>
    <w:rsid w:val="00DB6A13"/>
    <w:rsid w:val="00DC7F54"/>
    <w:rsid w:val="00DE65E2"/>
    <w:rsid w:val="00DF31FD"/>
    <w:rsid w:val="00DF3546"/>
    <w:rsid w:val="00E01481"/>
    <w:rsid w:val="00E044EA"/>
    <w:rsid w:val="00E1275B"/>
    <w:rsid w:val="00E138DD"/>
    <w:rsid w:val="00E16603"/>
    <w:rsid w:val="00E166FC"/>
    <w:rsid w:val="00E170C8"/>
    <w:rsid w:val="00E22306"/>
    <w:rsid w:val="00E278FC"/>
    <w:rsid w:val="00E42548"/>
    <w:rsid w:val="00E44690"/>
    <w:rsid w:val="00E4590A"/>
    <w:rsid w:val="00E60BBC"/>
    <w:rsid w:val="00E60E92"/>
    <w:rsid w:val="00E70F26"/>
    <w:rsid w:val="00E7133C"/>
    <w:rsid w:val="00E71F4D"/>
    <w:rsid w:val="00E77791"/>
    <w:rsid w:val="00E77B13"/>
    <w:rsid w:val="00E80350"/>
    <w:rsid w:val="00E807CD"/>
    <w:rsid w:val="00E8196C"/>
    <w:rsid w:val="00E9049C"/>
    <w:rsid w:val="00EA0C90"/>
    <w:rsid w:val="00EB3274"/>
    <w:rsid w:val="00EB3718"/>
    <w:rsid w:val="00EB5436"/>
    <w:rsid w:val="00EC25AC"/>
    <w:rsid w:val="00EC55E2"/>
    <w:rsid w:val="00EF4371"/>
    <w:rsid w:val="00F2403B"/>
    <w:rsid w:val="00F32973"/>
    <w:rsid w:val="00F358A0"/>
    <w:rsid w:val="00F35925"/>
    <w:rsid w:val="00F424F6"/>
    <w:rsid w:val="00F43797"/>
    <w:rsid w:val="00F60788"/>
    <w:rsid w:val="00F617F6"/>
    <w:rsid w:val="00F647B3"/>
    <w:rsid w:val="00F71E52"/>
    <w:rsid w:val="00F8401F"/>
    <w:rsid w:val="00F908CD"/>
    <w:rsid w:val="00F935C5"/>
    <w:rsid w:val="00F94DE4"/>
    <w:rsid w:val="00FA1CFF"/>
    <w:rsid w:val="00FA201B"/>
    <w:rsid w:val="00FB04F9"/>
    <w:rsid w:val="00FB6916"/>
    <w:rsid w:val="00FC5036"/>
    <w:rsid w:val="00FD03A7"/>
    <w:rsid w:val="00FD5FA5"/>
    <w:rsid w:val="00FD74B9"/>
    <w:rsid w:val="00FE198F"/>
    <w:rsid w:val="00FE2ACC"/>
    <w:rsid w:val="00FF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D609"/>
  <w15:chartTrackingRefBased/>
  <w15:docId w15:val="{D3EDD17B-D384-4409-B0E4-21F81CCE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4A4"/>
    <w:pPr>
      <w:spacing w:after="200" w:line="276" w:lineRule="auto"/>
    </w:pPr>
    <w:rPr>
      <w:sz w:val="24"/>
    </w:rPr>
  </w:style>
  <w:style w:type="paragraph" w:styleId="Heading4">
    <w:name w:val="heading 4"/>
    <w:basedOn w:val="Normal"/>
    <w:link w:val="Heading4Char"/>
    <w:uiPriority w:val="9"/>
    <w:qFormat/>
    <w:rsid w:val="003208E8"/>
    <w:pPr>
      <w:spacing w:before="100" w:beforeAutospacing="1" w:after="100" w:afterAutospacing="1" w:line="240" w:lineRule="auto"/>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6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06F9"/>
    <w:rPr>
      <w:rFonts w:ascii="Tahoma" w:hAnsi="Tahoma" w:cs="Tahoma"/>
      <w:sz w:val="16"/>
      <w:szCs w:val="16"/>
    </w:rPr>
  </w:style>
  <w:style w:type="character" w:customStyle="1" w:styleId="Heading4Char">
    <w:name w:val="Heading 4 Char"/>
    <w:link w:val="Heading4"/>
    <w:uiPriority w:val="9"/>
    <w:rsid w:val="003208E8"/>
    <w:rPr>
      <w:rFonts w:eastAsia="Times New Roman"/>
      <w:b/>
      <w:bCs/>
      <w:sz w:val="24"/>
      <w:szCs w:val="24"/>
    </w:rPr>
  </w:style>
  <w:style w:type="paragraph" w:customStyle="1" w:styleId="bodytext">
    <w:name w:val="bodytext"/>
    <w:basedOn w:val="Normal"/>
    <w:rsid w:val="003208E8"/>
    <w:pPr>
      <w:spacing w:before="100" w:beforeAutospacing="1" w:after="100" w:afterAutospacing="1" w:line="240" w:lineRule="auto"/>
    </w:pPr>
    <w:rPr>
      <w:rFonts w:eastAsia="Times New Roman"/>
      <w:szCs w:val="24"/>
    </w:rPr>
  </w:style>
  <w:style w:type="character" w:styleId="Emphasis">
    <w:name w:val="Emphasis"/>
    <w:uiPriority w:val="20"/>
    <w:qFormat/>
    <w:rsid w:val="003208E8"/>
    <w:rPr>
      <w:i/>
      <w:iCs/>
    </w:rPr>
  </w:style>
  <w:style w:type="character" w:styleId="Hyperlink">
    <w:name w:val="Hyperlink"/>
    <w:uiPriority w:val="99"/>
    <w:semiHidden/>
    <w:unhideWhenUsed/>
    <w:rsid w:val="003208E8"/>
    <w:rPr>
      <w:color w:val="0000FF"/>
      <w:u w:val="single"/>
    </w:rPr>
  </w:style>
  <w:style w:type="paragraph" w:customStyle="1" w:styleId="sylcte">
    <w:name w:val="sylcte"/>
    <w:basedOn w:val="Normal"/>
    <w:rsid w:val="003208E8"/>
    <w:pPr>
      <w:spacing w:before="100" w:beforeAutospacing="1" w:after="100" w:afterAutospacing="1" w:line="240" w:lineRule="auto"/>
    </w:pPr>
    <w:rPr>
      <w:rFonts w:eastAsia="Times New Roman"/>
      <w:szCs w:val="24"/>
    </w:rPr>
  </w:style>
  <w:style w:type="paragraph" w:customStyle="1" w:styleId="sylctf">
    <w:name w:val="sylctf"/>
    <w:basedOn w:val="Normal"/>
    <w:rsid w:val="00E278FC"/>
    <w:pPr>
      <w:spacing w:before="100" w:beforeAutospacing="1" w:after="100" w:afterAutospacing="1" w:line="240" w:lineRule="auto"/>
    </w:pPr>
    <w:rPr>
      <w:rFonts w:eastAsia="Times New Roman"/>
      <w:szCs w:val="24"/>
    </w:rPr>
  </w:style>
  <w:style w:type="paragraph" w:customStyle="1" w:styleId="sylctg">
    <w:name w:val="sylctg"/>
    <w:basedOn w:val="Normal"/>
    <w:rsid w:val="00E278FC"/>
    <w:pPr>
      <w:spacing w:before="100" w:beforeAutospacing="1" w:after="100" w:afterAutospacing="1" w:line="240" w:lineRule="auto"/>
    </w:pPr>
    <w:rPr>
      <w:rFonts w:eastAsia="Times New Roman"/>
      <w:szCs w:val="24"/>
    </w:rPr>
  </w:style>
  <w:style w:type="character" w:customStyle="1" w:styleId="smallcaps">
    <w:name w:val="smallcaps"/>
    <w:rsid w:val="00E278FC"/>
  </w:style>
  <w:style w:type="character" w:styleId="Strong">
    <w:name w:val="Strong"/>
    <w:uiPriority w:val="22"/>
    <w:qFormat/>
    <w:rsid w:val="00AA51C2"/>
    <w:rPr>
      <w:b/>
      <w:bCs/>
    </w:rPr>
  </w:style>
  <w:style w:type="paragraph" w:customStyle="1" w:styleId="sylct-d">
    <w:name w:val="sylct-d"/>
    <w:basedOn w:val="Normal"/>
    <w:rsid w:val="00B14C9A"/>
    <w:pPr>
      <w:spacing w:before="100" w:beforeAutospacing="1" w:after="100" w:afterAutospacing="1" w:line="240" w:lineRule="auto"/>
    </w:pPr>
    <w:rPr>
      <w:rFonts w:eastAsia="Times New Roman"/>
      <w:szCs w:val="24"/>
    </w:rPr>
  </w:style>
  <w:style w:type="paragraph" w:customStyle="1" w:styleId="sylct-e">
    <w:name w:val="sylct-e"/>
    <w:basedOn w:val="Normal"/>
    <w:rsid w:val="00B14C9A"/>
    <w:pPr>
      <w:spacing w:before="100" w:beforeAutospacing="1" w:after="100" w:afterAutospacing="1" w:line="240" w:lineRule="auto"/>
    </w:pPr>
    <w:rPr>
      <w:rFonts w:eastAsia="Times New Roman"/>
      <w:szCs w:val="24"/>
    </w:rPr>
  </w:style>
  <w:style w:type="paragraph" w:customStyle="1" w:styleId="sylct-f">
    <w:name w:val="sylct-f"/>
    <w:basedOn w:val="Normal"/>
    <w:rsid w:val="00B14C9A"/>
    <w:pPr>
      <w:spacing w:before="100" w:beforeAutospacing="1" w:after="100" w:afterAutospacing="1" w:line="240" w:lineRule="auto"/>
    </w:pPr>
    <w:rPr>
      <w:rFonts w:eastAsia="Times New Roman"/>
      <w:szCs w:val="24"/>
    </w:rPr>
  </w:style>
  <w:style w:type="paragraph" w:customStyle="1" w:styleId="sylct-a">
    <w:name w:val="sylct-a"/>
    <w:basedOn w:val="Normal"/>
    <w:rsid w:val="00BE0A2B"/>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71710">
      <w:bodyDiv w:val="1"/>
      <w:marLeft w:val="0"/>
      <w:marRight w:val="0"/>
      <w:marTop w:val="0"/>
      <w:marBottom w:val="0"/>
      <w:divBdr>
        <w:top w:val="none" w:sz="0" w:space="0" w:color="auto"/>
        <w:left w:val="none" w:sz="0" w:space="0" w:color="auto"/>
        <w:bottom w:val="none" w:sz="0" w:space="0" w:color="auto"/>
        <w:right w:val="none" w:sz="0" w:space="0" w:color="auto"/>
      </w:divBdr>
    </w:div>
    <w:div w:id="398407935">
      <w:bodyDiv w:val="1"/>
      <w:marLeft w:val="0"/>
      <w:marRight w:val="0"/>
      <w:marTop w:val="0"/>
      <w:marBottom w:val="0"/>
      <w:divBdr>
        <w:top w:val="none" w:sz="0" w:space="0" w:color="auto"/>
        <w:left w:val="none" w:sz="0" w:space="0" w:color="auto"/>
        <w:bottom w:val="none" w:sz="0" w:space="0" w:color="auto"/>
        <w:right w:val="none" w:sz="0" w:space="0" w:color="auto"/>
      </w:divBdr>
      <w:divsChild>
        <w:div w:id="1630938282">
          <w:marLeft w:val="0"/>
          <w:marRight w:val="0"/>
          <w:marTop w:val="0"/>
          <w:marBottom w:val="0"/>
          <w:divBdr>
            <w:top w:val="none" w:sz="0" w:space="0" w:color="auto"/>
            <w:left w:val="none" w:sz="0" w:space="0" w:color="auto"/>
            <w:bottom w:val="none" w:sz="0" w:space="0" w:color="auto"/>
            <w:right w:val="none" w:sz="0" w:space="0" w:color="auto"/>
          </w:divBdr>
        </w:div>
      </w:divsChild>
    </w:div>
    <w:div w:id="718476451">
      <w:bodyDiv w:val="1"/>
      <w:marLeft w:val="0"/>
      <w:marRight w:val="0"/>
      <w:marTop w:val="0"/>
      <w:marBottom w:val="0"/>
      <w:divBdr>
        <w:top w:val="none" w:sz="0" w:space="0" w:color="auto"/>
        <w:left w:val="none" w:sz="0" w:space="0" w:color="auto"/>
        <w:bottom w:val="none" w:sz="0" w:space="0" w:color="auto"/>
        <w:right w:val="none" w:sz="0" w:space="0" w:color="auto"/>
      </w:divBdr>
      <w:divsChild>
        <w:div w:id="4794725">
          <w:marLeft w:val="0"/>
          <w:marRight w:val="0"/>
          <w:marTop w:val="0"/>
          <w:marBottom w:val="0"/>
          <w:divBdr>
            <w:top w:val="none" w:sz="0" w:space="0" w:color="auto"/>
            <w:left w:val="none" w:sz="0" w:space="0" w:color="auto"/>
            <w:bottom w:val="none" w:sz="0" w:space="0" w:color="auto"/>
            <w:right w:val="none" w:sz="0" w:space="0" w:color="auto"/>
          </w:divBdr>
        </w:div>
        <w:div w:id="159851238">
          <w:marLeft w:val="0"/>
          <w:marRight w:val="0"/>
          <w:marTop w:val="0"/>
          <w:marBottom w:val="0"/>
          <w:divBdr>
            <w:top w:val="none" w:sz="0" w:space="0" w:color="auto"/>
            <w:left w:val="none" w:sz="0" w:space="0" w:color="auto"/>
            <w:bottom w:val="none" w:sz="0" w:space="0" w:color="auto"/>
            <w:right w:val="none" w:sz="0" w:space="0" w:color="auto"/>
          </w:divBdr>
        </w:div>
        <w:div w:id="245461321">
          <w:marLeft w:val="0"/>
          <w:marRight w:val="0"/>
          <w:marTop w:val="0"/>
          <w:marBottom w:val="0"/>
          <w:divBdr>
            <w:top w:val="none" w:sz="0" w:space="0" w:color="auto"/>
            <w:left w:val="none" w:sz="0" w:space="0" w:color="auto"/>
            <w:bottom w:val="none" w:sz="0" w:space="0" w:color="auto"/>
            <w:right w:val="none" w:sz="0" w:space="0" w:color="auto"/>
          </w:divBdr>
        </w:div>
        <w:div w:id="368066410">
          <w:marLeft w:val="0"/>
          <w:marRight w:val="0"/>
          <w:marTop w:val="0"/>
          <w:marBottom w:val="0"/>
          <w:divBdr>
            <w:top w:val="none" w:sz="0" w:space="0" w:color="auto"/>
            <w:left w:val="none" w:sz="0" w:space="0" w:color="auto"/>
            <w:bottom w:val="none" w:sz="0" w:space="0" w:color="auto"/>
            <w:right w:val="none" w:sz="0" w:space="0" w:color="auto"/>
          </w:divBdr>
        </w:div>
        <w:div w:id="376930106">
          <w:marLeft w:val="0"/>
          <w:marRight w:val="0"/>
          <w:marTop w:val="0"/>
          <w:marBottom w:val="0"/>
          <w:divBdr>
            <w:top w:val="none" w:sz="0" w:space="0" w:color="auto"/>
            <w:left w:val="none" w:sz="0" w:space="0" w:color="auto"/>
            <w:bottom w:val="none" w:sz="0" w:space="0" w:color="auto"/>
            <w:right w:val="none" w:sz="0" w:space="0" w:color="auto"/>
          </w:divBdr>
        </w:div>
        <w:div w:id="490484175">
          <w:marLeft w:val="0"/>
          <w:marRight w:val="0"/>
          <w:marTop w:val="0"/>
          <w:marBottom w:val="0"/>
          <w:divBdr>
            <w:top w:val="none" w:sz="0" w:space="0" w:color="auto"/>
            <w:left w:val="none" w:sz="0" w:space="0" w:color="auto"/>
            <w:bottom w:val="none" w:sz="0" w:space="0" w:color="auto"/>
            <w:right w:val="none" w:sz="0" w:space="0" w:color="auto"/>
          </w:divBdr>
        </w:div>
        <w:div w:id="671026210">
          <w:marLeft w:val="0"/>
          <w:marRight w:val="0"/>
          <w:marTop w:val="0"/>
          <w:marBottom w:val="0"/>
          <w:divBdr>
            <w:top w:val="none" w:sz="0" w:space="0" w:color="auto"/>
            <w:left w:val="none" w:sz="0" w:space="0" w:color="auto"/>
            <w:bottom w:val="none" w:sz="0" w:space="0" w:color="auto"/>
            <w:right w:val="none" w:sz="0" w:space="0" w:color="auto"/>
          </w:divBdr>
        </w:div>
        <w:div w:id="716248591">
          <w:marLeft w:val="0"/>
          <w:marRight w:val="0"/>
          <w:marTop w:val="0"/>
          <w:marBottom w:val="0"/>
          <w:divBdr>
            <w:top w:val="none" w:sz="0" w:space="0" w:color="auto"/>
            <w:left w:val="none" w:sz="0" w:space="0" w:color="auto"/>
            <w:bottom w:val="none" w:sz="0" w:space="0" w:color="auto"/>
            <w:right w:val="none" w:sz="0" w:space="0" w:color="auto"/>
          </w:divBdr>
        </w:div>
        <w:div w:id="806894201">
          <w:marLeft w:val="0"/>
          <w:marRight w:val="0"/>
          <w:marTop w:val="0"/>
          <w:marBottom w:val="0"/>
          <w:divBdr>
            <w:top w:val="none" w:sz="0" w:space="0" w:color="auto"/>
            <w:left w:val="none" w:sz="0" w:space="0" w:color="auto"/>
            <w:bottom w:val="none" w:sz="0" w:space="0" w:color="auto"/>
            <w:right w:val="none" w:sz="0" w:space="0" w:color="auto"/>
          </w:divBdr>
        </w:div>
        <w:div w:id="840630315">
          <w:marLeft w:val="0"/>
          <w:marRight w:val="0"/>
          <w:marTop w:val="0"/>
          <w:marBottom w:val="0"/>
          <w:divBdr>
            <w:top w:val="none" w:sz="0" w:space="0" w:color="auto"/>
            <w:left w:val="none" w:sz="0" w:space="0" w:color="auto"/>
            <w:bottom w:val="none" w:sz="0" w:space="0" w:color="auto"/>
            <w:right w:val="none" w:sz="0" w:space="0" w:color="auto"/>
          </w:divBdr>
        </w:div>
        <w:div w:id="856581753">
          <w:marLeft w:val="0"/>
          <w:marRight w:val="0"/>
          <w:marTop w:val="0"/>
          <w:marBottom w:val="0"/>
          <w:divBdr>
            <w:top w:val="none" w:sz="0" w:space="0" w:color="auto"/>
            <w:left w:val="none" w:sz="0" w:space="0" w:color="auto"/>
            <w:bottom w:val="none" w:sz="0" w:space="0" w:color="auto"/>
            <w:right w:val="none" w:sz="0" w:space="0" w:color="auto"/>
          </w:divBdr>
        </w:div>
        <w:div w:id="959645644">
          <w:marLeft w:val="0"/>
          <w:marRight w:val="0"/>
          <w:marTop w:val="0"/>
          <w:marBottom w:val="0"/>
          <w:divBdr>
            <w:top w:val="none" w:sz="0" w:space="0" w:color="auto"/>
            <w:left w:val="none" w:sz="0" w:space="0" w:color="auto"/>
            <w:bottom w:val="none" w:sz="0" w:space="0" w:color="auto"/>
            <w:right w:val="none" w:sz="0" w:space="0" w:color="auto"/>
          </w:divBdr>
        </w:div>
        <w:div w:id="962493931">
          <w:marLeft w:val="0"/>
          <w:marRight w:val="0"/>
          <w:marTop w:val="0"/>
          <w:marBottom w:val="0"/>
          <w:divBdr>
            <w:top w:val="none" w:sz="0" w:space="0" w:color="auto"/>
            <w:left w:val="none" w:sz="0" w:space="0" w:color="auto"/>
            <w:bottom w:val="none" w:sz="0" w:space="0" w:color="auto"/>
            <w:right w:val="none" w:sz="0" w:space="0" w:color="auto"/>
          </w:divBdr>
        </w:div>
        <w:div w:id="1063480964">
          <w:marLeft w:val="0"/>
          <w:marRight w:val="0"/>
          <w:marTop w:val="0"/>
          <w:marBottom w:val="0"/>
          <w:divBdr>
            <w:top w:val="none" w:sz="0" w:space="0" w:color="auto"/>
            <w:left w:val="none" w:sz="0" w:space="0" w:color="auto"/>
            <w:bottom w:val="none" w:sz="0" w:space="0" w:color="auto"/>
            <w:right w:val="none" w:sz="0" w:space="0" w:color="auto"/>
          </w:divBdr>
        </w:div>
        <w:div w:id="1101410184">
          <w:marLeft w:val="0"/>
          <w:marRight w:val="0"/>
          <w:marTop w:val="0"/>
          <w:marBottom w:val="0"/>
          <w:divBdr>
            <w:top w:val="none" w:sz="0" w:space="0" w:color="auto"/>
            <w:left w:val="none" w:sz="0" w:space="0" w:color="auto"/>
            <w:bottom w:val="none" w:sz="0" w:space="0" w:color="auto"/>
            <w:right w:val="none" w:sz="0" w:space="0" w:color="auto"/>
          </w:divBdr>
        </w:div>
        <w:div w:id="1132939555">
          <w:marLeft w:val="0"/>
          <w:marRight w:val="0"/>
          <w:marTop w:val="0"/>
          <w:marBottom w:val="0"/>
          <w:divBdr>
            <w:top w:val="none" w:sz="0" w:space="0" w:color="auto"/>
            <w:left w:val="none" w:sz="0" w:space="0" w:color="auto"/>
            <w:bottom w:val="none" w:sz="0" w:space="0" w:color="auto"/>
            <w:right w:val="none" w:sz="0" w:space="0" w:color="auto"/>
          </w:divBdr>
        </w:div>
        <w:div w:id="1133137270">
          <w:marLeft w:val="0"/>
          <w:marRight w:val="0"/>
          <w:marTop w:val="0"/>
          <w:marBottom w:val="0"/>
          <w:divBdr>
            <w:top w:val="none" w:sz="0" w:space="0" w:color="auto"/>
            <w:left w:val="none" w:sz="0" w:space="0" w:color="auto"/>
            <w:bottom w:val="none" w:sz="0" w:space="0" w:color="auto"/>
            <w:right w:val="none" w:sz="0" w:space="0" w:color="auto"/>
          </w:divBdr>
        </w:div>
        <w:div w:id="1247570089">
          <w:marLeft w:val="0"/>
          <w:marRight w:val="0"/>
          <w:marTop w:val="0"/>
          <w:marBottom w:val="0"/>
          <w:divBdr>
            <w:top w:val="none" w:sz="0" w:space="0" w:color="auto"/>
            <w:left w:val="none" w:sz="0" w:space="0" w:color="auto"/>
            <w:bottom w:val="none" w:sz="0" w:space="0" w:color="auto"/>
            <w:right w:val="none" w:sz="0" w:space="0" w:color="auto"/>
          </w:divBdr>
        </w:div>
        <w:div w:id="1285187156">
          <w:marLeft w:val="0"/>
          <w:marRight w:val="0"/>
          <w:marTop w:val="0"/>
          <w:marBottom w:val="0"/>
          <w:divBdr>
            <w:top w:val="none" w:sz="0" w:space="0" w:color="auto"/>
            <w:left w:val="none" w:sz="0" w:space="0" w:color="auto"/>
            <w:bottom w:val="none" w:sz="0" w:space="0" w:color="auto"/>
            <w:right w:val="none" w:sz="0" w:space="0" w:color="auto"/>
          </w:divBdr>
        </w:div>
        <w:div w:id="1300110137">
          <w:marLeft w:val="0"/>
          <w:marRight w:val="0"/>
          <w:marTop w:val="0"/>
          <w:marBottom w:val="0"/>
          <w:divBdr>
            <w:top w:val="none" w:sz="0" w:space="0" w:color="auto"/>
            <w:left w:val="none" w:sz="0" w:space="0" w:color="auto"/>
            <w:bottom w:val="none" w:sz="0" w:space="0" w:color="auto"/>
            <w:right w:val="none" w:sz="0" w:space="0" w:color="auto"/>
          </w:divBdr>
        </w:div>
        <w:div w:id="1328166261">
          <w:marLeft w:val="0"/>
          <w:marRight w:val="0"/>
          <w:marTop w:val="0"/>
          <w:marBottom w:val="0"/>
          <w:divBdr>
            <w:top w:val="none" w:sz="0" w:space="0" w:color="auto"/>
            <w:left w:val="none" w:sz="0" w:space="0" w:color="auto"/>
            <w:bottom w:val="none" w:sz="0" w:space="0" w:color="auto"/>
            <w:right w:val="none" w:sz="0" w:space="0" w:color="auto"/>
          </w:divBdr>
        </w:div>
        <w:div w:id="1378819200">
          <w:marLeft w:val="0"/>
          <w:marRight w:val="0"/>
          <w:marTop w:val="0"/>
          <w:marBottom w:val="0"/>
          <w:divBdr>
            <w:top w:val="none" w:sz="0" w:space="0" w:color="auto"/>
            <w:left w:val="none" w:sz="0" w:space="0" w:color="auto"/>
            <w:bottom w:val="none" w:sz="0" w:space="0" w:color="auto"/>
            <w:right w:val="none" w:sz="0" w:space="0" w:color="auto"/>
          </w:divBdr>
        </w:div>
        <w:div w:id="1430613398">
          <w:marLeft w:val="0"/>
          <w:marRight w:val="0"/>
          <w:marTop w:val="0"/>
          <w:marBottom w:val="0"/>
          <w:divBdr>
            <w:top w:val="none" w:sz="0" w:space="0" w:color="auto"/>
            <w:left w:val="none" w:sz="0" w:space="0" w:color="auto"/>
            <w:bottom w:val="none" w:sz="0" w:space="0" w:color="auto"/>
            <w:right w:val="none" w:sz="0" w:space="0" w:color="auto"/>
          </w:divBdr>
        </w:div>
        <w:div w:id="1466049270">
          <w:marLeft w:val="0"/>
          <w:marRight w:val="0"/>
          <w:marTop w:val="0"/>
          <w:marBottom w:val="0"/>
          <w:divBdr>
            <w:top w:val="none" w:sz="0" w:space="0" w:color="auto"/>
            <w:left w:val="none" w:sz="0" w:space="0" w:color="auto"/>
            <w:bottom w:val="none" w:sz="0" w:space="0" w:color="auto"/>
            <w:right w:val="none" w:sz="0" w:space="0" w:color="auto"/>
          </w:divBdr>
        </w:div>
        <w:div w:id="1507211053">
          <w:marLeft w:val="0"/>
          <w:marRight w:val="0"/>
          <w:marTop w:val="0"/>
          <w:marBottom w:val="0"/>
          <w:divBdr>
            <w:top w:val="none" w:sz="0" w:space="0" w:color="auto"/>
            <w:left w:val="none" w:sz="0" w:space="0" w:color="auto"/>
            <w:bottom w:val="none" w:sz="0" w:space="0" w:color="auto"/>
            <w:right w:val="none" w:sz="0" w:space="0" w:color="auto"/>
          </w:divBdr>
        </w:div>
        <w:div w:id="1512916443">
          <w:marLeft w:val="0"/>
          <w:marRight w:val="0"/>
          <w:marTop w:val="0"/>
          <w:marBottom w:val="0"/>
          <w:divBdr>
            <w:top w:val="none" w:sz="0" w:space="0" w:color="auto"/>
            <w:left w:val="none" w:sz="0" w:space="0" w:color="auto"/>
            <w:bottom w:val="none" w:sz="0" w:space="0" w:color="auto"/>
            <w:right w:val="none" w:sz="0" w:space="0" w:color="auto"/>
          </w:divBdr>
        </w:div>
        <w:div w:id="1525363060">
          <w:marLeft w:val="0"/>
          <w:marRight w:val="0"/>
          <w:marTop w:val="0"/>
          <w:marBottom w:val="0"/>
          <w:divBdr>
            <w:top w:val="none" w:sz="0" w:space="0" w:color="auto"/>
            <w:left w:val="none" w:sz="0" w:space="0" w:color="auto"/>
            <w:bottom w:val="none" w:sz="0" w:space="0" w:color="auto"/>
            <w:right w:val="none" w:sz="0" w:space="0" w:color="auto"/>
          </w:divBdr>
        </w:div>
        <w:div w:id="1537740836">
          <w:marLeft w:val="0"/>
          <w:marRight w:val="0"/>
          <w:marTop w:val="0"/>
          <w:marBottom w:val="0"/>
          <w:divBdr>
            <w:top w:val="none" w:sz="0" w:space="0" w:color="auto"/>
            <w:left w:val="none" w:sz="0" w:space="0" w:color="auto"/>
            <w:bottom w:val="none" w:sz="0" w:space="0" w:color="auto"/>
            <w:right w:val="none" w:sz="0" w:space="0" w:color="auto"/>
          </w:divBdr>
        </w:div>
        <w:div w:id="1588150897">
          <w:marLeft w:val="0"/>
          <w:marRight w:val="0"/>
          <w:marTop w:val="0"/>
          <w:marBottom w:val="0"/>
          <w:divBdr>
            <w:top w:val="none" w:sz="0" w:space="0" w:color="auto"/>
            <w:left w:val="none" w:sz="0" w:space="0" w:color="auto"/>
            <w:bottom w:val="none" w:sz="0" w:space="0" w:color="auto"/>
            <w:right w:val="none" w:sz="0" w:space="0" w:color="auto"/>
          </w:divBdr>
        </w:div>
        <w:div w:id="1694960436">
          <w:marLeft w:val="0"/>
          <w:marRight w:val="0"/>
          <w:marTop w:val="0"/>
          <w:marBottom w:val="0"/>
          <w:divBdr>
            <w:top w:val="none" w:sz="0" w:space="0" w:color="auto"/>
            <w:left w:val="none" w:sz="0" w:space="0" w:color="auto"/>
            <w:bottom w:val="none" w:sz="0" w:space="0" w:color="auto"/>
            <w:right w:val="none" w:sz="0" w:space="0" w:color="auto"/>
          </w:divBdr>
        </w:div>
        <w:div w:id="1726249195">
          <w:marLeft w:val="0"/>
          <w:marRight w:val="0"/>
          <w:marTop w:val="0"/>
          <w:marBottom w:val="0"/>
          <w:divBdr>
            <w:top w:val="none" w:sz="0" w:space="0" w:color="auto"/>
            <w:left w:val="none" w:sz="0" w:space="0" w:color="auto"/>
            <w:bottom w:val="none" w:sz="0" w:space="0" w:color="auto"/>
            <w:right w:val="none" w:sz="0" w:space="0" w:color="auto"/>
          </w:divBdr>
        </w:div>
        <w:div w:id="1878547739">
          <w:marLeft w:val="0"/>
          <w:marRight w:val="0"/>
          <w:marTop w:val="0"/>
          <w:marBottom w:val="0"/>
          <w:divBdr>
            <w:top w:val="none" w:sz="0" w:space="0" w:color="auto"/>
            <w:left w:val="none" w:sz="0" w:space="0" w:color="auto"/>
            <w:bottom w:val="none" w:sz="0" w:space="0" w:color="auto"/>
            <w:right w:val="none" w:sz="0" w:space="0" w:color="auto"/>
          </w:divBdr>
        </w:div>
        <w:div w:id="1880586569">
          <w:marLeft w:val="0"/>
          <w:marRight w:val="0"/>
          <w:marTop w:val="0"/>
          <w:marBottom w:val="0"/>
          <w:divBdr>
            <w:top w:val="none" w:sz="0" w:space="0" w:color="auto"/>
            <w:left w:val="none" w:sz="0" w:space="0" w:color="auto"/>
            <w:bottom w:val="none" w:sz="0" w:space="0" w:color="auto"/>
            <w:right w:val="none" w:sz="0" w:space="0" w:color="auto"/>
          </w:divBdr>
        </w:div>
        <w:div w:id="1918130134">
          <w:marLeft w:val="0"/>
          <w:marRight w:val="0"/>
          <w:marTop w:val="0"/>
          <w:marBottom w:val="0"/>
          <w:divBdr>
            <w:top w:val="none" w:sz="0" w:space="0" w:color="auto"/>
            <w:left w:val="none" w:sz="0" w:space="0" w:color="auto"/>
            <w:bottom w:val="none" w:sz="0" w:space="0" w:color="auto"/>
            <w:right w:val="none" w:sz="0" w:space="0" w:color="auto"/>
          </w:divBdr>
        </w:div>
        <w:div w:id="1934624860">
          <w:marLeft w:val="0"/>
          <w:marRight w:val="0"/>
          <w:marTop w:val="0"/>
          <w:marBottom w:val="0"/>
          <w:divBdr>
            <w:top w:val="none" w:sz="0" w:space="0" w:color="auto"/>
            <w:left w:val="none" w:sz="0" w:space="0" w:color="auto"/>
            <w:bottom w:val="none" w:sz="0" w:space="0" w:color="auto"/>
            <w:right w:val="none" w:sz="0" w:space="0" w:color="auto"/>
          </w:divBdr>
        </w:div>
        <w:div w:id="1964001515">
          <w:marLeft w:val="0"/>
          <w:marRight w:val="0"/>
          <w:marTop w:val="0"/>
          <w:marBottom w:val="0"/>
          <w:divBdr>
            <w:top w:val="none" w:sz="0" w:space="0" w:color="auto"/>
            <w:left w:val="none" w:sz="0" w:space="0" w:color="auto"/>
            <w:bottom w:val="none" w:sz="0" w:space="0" w:color="auto"/>
            <w:right w:val="none" w:sz="0" w:space="0" w:color="auto"/>
          </w:divBdr>
        </w:div>
        <w:div w:id="2068339159">
          <w:marLeft w:val="0"/>
          <w:marRight w:val="0"/>
          <w:marTop w:val="0"/>
          <w:marBottom w:val="0"/>
          <w:divBdr>
            <w:top w:val="none" w:sz="0" w:space="0" w:color="auto"/>
            <w:left w:val="none" w:sz="0" w:space="0" w:color="auto"/>
            <w:bottom w:val="none" w:sz="0" w:space="0" w:color="auto"/>
            <w:right w:val="none" w:sz="0" w:space="0" w:color="auto"/>
          </w:divBdr>
        </w:div>
        <w:div w:id="2089499924">
          <w:marLeft w:val="0"/>
          <w:marRight w:val="0"/>
          <w:marTop w:val="0"/>
          <w:marBottom w:val="0"/>
          <w:divBdr>
            <w:top w:val="none" w:sz="0" w:space="0" w:color="auto"/>
            <w:left w:val="none" w:sz="0" w:space="0" w:color="auto"/>
            <w:bottom w:val="none" w:sz="0" w:space="0" w:color="auto"/>
            <w:right w:val="none" w:sz="0" w:space="0" w:color="auto"/>
          </w:divBdr>
        </w:div>
        <w:div w:id="2119983909">
          <w:marLeft w:val="0"/>
          <w:marRight w:val="0"/>
          <w:marTop w:val="0"/>
          <w:marBottom w:val="0"/>
          <w:divBdr>
            <w:top w:val="none" w:sz="0" w:space="0" w:color="auto"/>
            <w:left w:val="none" w:sz="0" w:space="0" w:color="auto"/>
            <w:bottom w:val="none" w:sz="0" w:space="0" w:color="auto"/>
            <w:right w:val="none" w:sz="0" w:space="0" w:color="auto"/>
          </w:divBdr>
        </w:div>
      </w:divsChild>
    </w:div>
    <w:div w:id="817571090">
      <w:bodyDiv w:val="1"/>
      <w:marLeft w:val="0"/>
      <w:marRight w:val="0"/>
      <w:marTop w:val="0"/>
      <w:marBottom w:val="0"/>
      <w:divBdr>
        <w:top w:val="none" w:sz="0" w:space="0" w:color="auto"/>
        <w:left w:val="none" w:sz="0" w:space="0" w:color="auto"/>
        <w:bottom w:val="none" w:sz="0" w:space="0" w:color="auto"/>
        <w:right w:val="none" w:sz="0" w:space="0" w:color="auto"/>
      </w:divBdr>
      <w:divsChild>
        <w:div w:id="789200111">
          <w:marLeft w:val="0"/>
          <w:marRight w:val="0"/>
          <w:marTop w:val="0"/>
          <w:marBottom w:val="0"/>
          <w:divBdr>
            <w:top w:val="none" w:sz="0" w:space="0" w:color="auto"/>
            <w:left w:val="none" w:sz="0" w:space="0" w:color="auto"/>
            <w:bottom w:val="none" w:sz="0" w:space="0" w:color="auto"/>
            <w:right w:val="none" w:sz="0" w:space="0" w:color="auto"/>
          </w:divBdr>
        </w:div>
      </w:divsChild>
    </w:div>
    <w:div w:id="1055743452">
      <w:bodyDiv w:val="1"/>
      <w:marLeft w:val="0"/>
      <w:marRight w:val="0"/>
      <w:marTop w:val="0"/>
      <w:marBottom w:val="0"/>
      <w:divBdr>
        <w:top w:val="none" w:sz="0" w:space="0" w:color="auto"/>
        <w:left w:val="none" w:sz="0" w:space="0" w:color="auto"/>
        <w:bottom w:val="none" w:sz="0" w:space="0" w:color="auto"/>
        <w:right w:val="none" w:sz="0" w:space="0" w:color="auto"/>
      </w:divBdr>
    </w:div>
    <w:div w:id="1065450009">
      <w:bodyDiv w:val="1"/>
      <w:marLeft w:val="0"/>
      <w:marRight w:val="0"/>
      <w:marTop w:val="0"/>
      <w:marBottom w:val="0"/>
      <w:divBdr>
        <w:top w:val="none" w:sz="0" w:space="0" w:color="auto"/>
        <w:left w:val="none" w:sz="0" w:space="0" w:color="auto"/>
        <w:bottom w:val="none" w:sz="0" w:space="0" w:color="auto"/>
        <w:right w:val="none" w:sz="0" w:space="0" w:color="auto"/>
      </w:divBdr>
    </w:div>
    <w:div w:id="1136754679">
      <w:bodyDiv w:val="1"/>
      <w:marLeft w:val="0"/>
      <w:marRight w:val="0"/>
      <w:marTop w:val="0"/>
      <w:marBottom w:val="0"/>
      <w:divBdr>
        <w:top w:val="none" w:sz="0" w:space="0" w:color="auto"/>
        <w:left w:val="none" w:sz="0" w:space="0" w:color="auto"/>
        <w:bottom w:val="none" w:sz="0" w:space="0" w:color="auto"/>
        <w:right w:val="none" w:sz="0" w:space="0" w:color="auto"/>
      </w:divBdr>
    </w:div>
    <w:div w:id="1157261189">
      <w:bodyDiv w:val="1"/>
      <w:marLeft w:val="0"/>
      <w:marRight w:val="0"/>
      <w:marTop w:val="0"/>
      <w:marBottom w:val="0"/>
      <w:divBdr>
        <w:top w:val="none" w:sz="0" w:space="0" w:color="auto"/>
        <w:left w:val="none" w:sz="0" w:space="0" w:color="auto"/>
        <w:bottom w:val="none" w:sz="0" w:space="0" w:color="auto"/>
        <w:right w:val="none" w:sz="0" w:space="0" w:color="auto"/>
      </w:divBdr>
      <w:divsChild>
        <w:div w:id="1562784376">
          <w:marLeft w:val="0"/>
          <w:marRight w:val="0"/>
          <w:marTop w:val="0"/>
          <w:marBottom w:val="0"/>
          <w:divBdr>
            <w:top w:val="none" w:sz="0" w:space="0" w:color="auto"/>
            <w:left w:val="none" w:sz="0" w:space="0" w:color="auto"/>
            <w:bottom w:val="none" w:sz="0" w:space="0" w:color="auto"/>
            <w:right w:val="none" w:sz="0" w:space="0" w:color="auto"/>
          </w:divBdr>
        </w:div>
      </w:divsChild>
    </w:div>
    <w:div w:id="1395008662">
      <w:bodyDiv w:val="1"/>
      <w:marLeft w:val="0"/>
      <w:marRight w:val="0"/>
      <w:marTop w:val="0"/>
      <w:marBottom w:val="0"/>
      <w:divBdr>
        <w:top w:val="none" w:sz="0" w:space="0" w:color="auto"/>
        <w:left w:val="none" w:sz="0" w:space="0" w:color="auto"/>
        <w:bottom w:val="none" w:sz="0" w:space="0" w:color="auto"/>
        <w:right w:val="none" w:sz="0" w:space="0" w:color="auto"/>
      </w:divBdr>
      <w:divsChild>
        <w:div w:id="1433237061">
          <w:marLeft w:val="0"/>
          <w:marRight w:val="0"/>
          <w:marTop w:val="0"/>
          <w:marBottom w:val="0"/>
          <w:divBdr>
            <w:top w:val="none" w:sz="0" w:space="0" w:color="auto"/>
            <w:left w:val="none" w:sz="0" w:space="0" w:color="auto"/>
            <w:bottom w:val="none" w:sz="0" w:space="0" w:color="auto"/>
            <w:right w:val="none" w:sz="0" w:space="0" w:color="auto"/>
          </w:divBdr>
        </w:div>
      </w:divsChild>
    </w:div>
    <w:div w:id="1601640960">
      <w:bodyDiv w:val="1"/>
      <w:marLeft w:val="0"/>
      <w:marRight w:val="0"/>
      <w:marTop w:val="0"/>
      <w:marBottom w:val="0"/>
      <w:divBdr>
        <w:top w:val="none" w:sz="0" w:space="0" w:color="auto"/>
        <w:left w:val="none" w:sz="0" w:space="0" w:color="auto"/>
        <w:bottom w:val="none" w:sz="0" w:space="0" w:color="auto"/>
        <w:right w:val="none" w:sz="0" w:space="0" w:color="auto"/>
      </w:divBdr>
      <w:divsChild>
        <w:div w:id="764687980">
          <w:marLeft w:val="0"/>
          <w:marRight w:val="0"/>
          <w:marTop w:val="0"/>
          <w:marBottom w:val="0"/>
          <w:divBdr>
            <w:top w:val="none" w:sz="0" w:space="0" w:color="auto"/>
            <w:left w:val="none" w:sz="0" w:space="0" w:color="auto"/>
            <w:bottom w:val="none" w:sz="0" w:space="0" w:color="auto"/>
            <w:right w:val="none" w:sz="0" w:space="0" w:color="auto"/>
          </w:divBdr>
        </w:div>
      </w:divsChild>
    </w:div>
    <w:div w:id="16774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324103">
          <w:marLeft w:val="0"/>
          <w:marRight w:val="0"/>
          <w:marTop w:val="0"/>
          <w:marBottom w:val="0"/>
          <w:divBdr>
            <w:top w:val="none" w:sz="0" w:space="0" w:color="auto"/>
            <w:left w:val="none" w:sz="0" w:space="0" w:color="auto"/>
            <w:bottom w:val="none" w:sz="0" w:space="0" w:color="auto"/>
            <w:right w:val="none" w:sz="0" w:space="0" w:color="auto"/>
          </w:divBdr>
        </w:div>
      </w:divsChild>
    </w:div>
    <w:div w:id="1686705752">
      <w:bodyDiv w:val="1"/>
      <w:marLeft w:val="0"/>
      <w:marRight w:val="0"/>
      <w:marTop w:val="0"/>
      <w:marBottom w:val="0"/>
      <w:divBdr>
        <w:top w:val="none" w:sz="0" w:space="0" w:color="auto"/>
        <w:left w:val="none" w:sz="0" w:space="0" w:color="auto"/>
        <w:bottom w:val="none" w:sz="0" w:space="0" w:color="auto"/>
        <w:right w:val="none" w:sz="0" w:space="0" w:color="auto"/>
      </w:divBdr>
    </w:div>
    <w:div w:id="1702248300">
      <w:bodyDiv w:val="1"/>
      <w:marLeft w:val="0"/>
      <w:marRight w:val="0"/>
      <w:marTop w:val="0"/>
      <w:marBottom w:val="0"/>
      <w:divBdr>
        <w:top w:val="none" w:sz="0" w:space="0" w:color="auto"/>
        <w:left w:val="none" w:sz="0" w:space="0" w:color="auto"/>
        <w:bottom w:val="none" w:sz="0" w:space="0" w:color="auto"/>
        <w:right w:val="none" w:sz="0" w:space="0" w:color="auto"/>
      </w:divBdr>
      <w:divsChild>
        <w:div w:id="861482080">
          <w:marLeft w:val="0"/>
          <w:marRight w:val="0"/>
          <w:marTop w:val="0"/>
          <w:marBottom w:val="0"/>
          <w:divBdr>
            <w:top w:val="none" w:sz="0" w:space="0" w:color="auto"/>
            <w:left w:val="none" w:sz="0" w:space="0" w:color="auto"/>
            <w:bottom w:val="none" w:sz="0" w:space="0" w:color="auto"/>
            <w:right w:val="none" w:sz="0" w:space="0" w:color="auto"/>
          </w:divBdr>
        </w:div>
      </w:divsChild>
    </w:div>
    <w:div w:id="1714770058">
      <w:bodyDiv w:val="1"/>
      <w:marLeft w:val="0"/>
      <w:marRight w:val="0"/>
      <w:marTop w:val="0"/>
      <w:marBottom w:val="0"/>
      <w:divBdr>
        <w:top w:val="none" w:sz="0" w:space="0" w:color="auto"/>
        <w:left w:val="none" w:sz="0" w:space="0" w:color="auto"/>
        <w:bottom w:val="none" w:sz="0" w:space="0" w:color="auto"/>
        <w:right w:val="none" w:sz="0" w:space="0" w:color="auto"/>
      </w:divBdr>
      <w:divsChild>
        <w:div w:id="2075346191">
          <w:marLeft w:val="0"/>
          <w:marRight w:val="0"/>
          <w:marTop w:val="0"/>
          <w:marBottom w:val="0"/>
          <w:divBdr>
            <w:top w:val="none" w:sz="0" w:space="0" w:color="auto"/>
            <w:left w:val="none" w:sz="0" w:space="0" w:color="auto"/>
            <w:bottom w:val="none" w:sz="0" w:space="0" w:color="auto"/>
            <w:right w:val="none" w:sz="0" w:space="0" w:color="auto"/>
          </w:divBdr>
        </w:div>
      </w:divsChild>
    </w:div>
    <w:div w:id="1792628963">
      <w:bodyDiv w:val="1"/>
      <w:marLeft w:val="0"/>
      <w:marRight w:val="0"/>
      <w:marTop w:val="0"/>
      <w:marBottom w:val="0"/>
      <w:divBdr>
        <w:top w:val="none" w:sz="0" w:space="0" w:color="auto"/>
        <w:left w:val="none" w:sz="0" w:space="0" w:color="auto"/>
        <w:bottom w:val="none" w:sz="0" w:space="0" w:color="auto"/>
        <w:right w:val="none" w:sz="0" w:space="0" w:color="auto"/>
      </w:divBdr>
    </w:div>
    <w:div w:id="1793592118">
      <w:bodyDiv w:val="1"/>
      <w:marLeft w:val="0"/>
      <w:marRight w:val="0"/>
      <w:marTop w:val="0"/>
      <w:marBottom w:val="0"/>
      <w:divBdr>
        <w:top w:val="none" w:sz="0" w:space="0" w:color="auto"/>
        <w:left w:val="none" w:sz="0" w:space="0" w:color="auto"/>
        <w:bottom w:val="none" w:sz="0" w:space="0" w:color="auto"/>
        <w:right w:val="none" w:sz="0" w:space="0" w:color="auto"/>
      </w:divBdr>
      <w:divsChild>
        <w:div w:id="872425447">
          <w:marLeft w:val="0"/>
          <w:marRight w:val="0"/>
          <w:marTop w:val="0"/>
          <w:marBottom w:val="0"/>
          <w:divBdr>
            <w:top w:val="none" w:sz="0" w:space="0" w:color="auto"/>
            <w:left w:val="none" w:sz="0" w:space="0" w:color="auto"/>
            <w:bottom w:val="none" w:sz="0" w:space="0" w:color="auto"/>
            <w:right w:val="none" w:sz="0" w:space="0" w:color="auto"/>
          </w:divBdr>
        </w:div>
      </w:divsChild>
    </w:div>
    <w:div w:id="1804613553">
      <w:bodyDiv w:val="1"/>
      <w:marLeft w:val="0"/>
      <w:marRight w:val="0"/>
      <w:marTop w:val="0"/>
      <w:marBottom w:val="0"/>
      <w:divBdr>
        <w:top w:val="none" w:sz="0" w:space="0" w:color="auto"/>
        <w:left w:val="none" w:sz="0" w:space="0" w:color="auto"/>
        <w:bottom w:val="none" w:sz="0" w:space="0" w:color="auto"/>
        <w:right w:val="none" w:sz="0" w:space="0" w:color="auto"/>
      </w:divBdr>
      <w:divsChild>
        <w:div w:id="1026515390">
          <w:marLeft w:val="0"/>
          <w:marRight w:val="0"/>
          <w:marTop w:val="0"/>
          <w:marBottom w:val="0"/>
          <w:divBdr>
            <w:top w:val="none" w:sz="0" w:space="0" w:color="auto"/>
            <w:left w:val="none" w:sz="0" w:space="0" w:color="auto"/>
            <w:bottom w:val="none" w:sz="0" w:space="0" w:color="auto"/>
            <w:right w:val="none" w:sz="0" w:space="0" w:color="auto"/>
          </w:divBdr>
        </w:div>
      </w:divsChild>
    </w:div>
    <w:div w:id="19693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9</Pages>
  <Words>4534</Words>
  <Characters>25848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30322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 Shapiro</dc:creator>
  <cp:keywords/>
  <cp:lastModifiedBy>Michael Bruce Shapiro</cp:lastModifiedBy>
  <cp:revision>17</cp:revision>
  <cp:lastPrinted>2014-07-07T23:27:00Z</cp:lastPrinted>
  <dcterms:created xsi:type="dcterms:W3CDTF">2022-10-12T03:08:00Z</dcterms:created>
  <dcterms:modified xsi:type="dcterms:W3CDTF">2023-06-27T16:48:00Z</dcterms:modified>
</cp:coreProperties>
</file>